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0980" w14:textId="77777777" w:rsidR="00EB1528" w:rsidRDefault="00EB1528" w:rsidP="001F76FF">
      <w:pPr>
        <w:contextualSpacing/>
        <w:jc w:val="center"/>
        <w:rPr>
          <w:sz w:val="20"/>
          <w:szCs w:val="20"/>
        </w:rPr>
      </w:pPr>
    </w:p>
    <w:p w14:paraId="0D7AC083" w14:textId="77777777" w:rsidR="00EB1528" w:rsidRDefault="00EB1528" w:rsidP="001F76FF">
      <w:pPr>
        <w:contextualSpacing/>
        <w:jc w:val="center"/>
        <w:rPr>
          <w:sz w:val="20"/>
          <w:szCs w:val="20"/>
        </w:rPr>
      </w:pPr>
    </w:p>
    <w:p w14:paraId="35FA90F4" w14:textId="77777777" w:rsidR="00EB1528" w:rsidRDefault="00EB1528" w:rsidP="001F76FF">
      <w:pPr>
        <w:contextualSpacing/>
        <w:jc w:val="center"/>
        <w:rPr>
          <w:sz w:val="20"/>
          <w:szCs w:val="20"/>
        </w:rPr>
      </w:pPr>
    </w:p>
    <w:p w14:paraId="2002108C" w14:textId="77777777" w:rsidR="00EB1528" w:rsidRDefault="00EB1528" w:rsidP="001F76FF">
      <w:pPr>
        <w:contextualSpacing/>
        <w:jc w:val="center"/>
        <w:rPr>
          <w:sz w:val="20"/>
          <w:szCs w:val="20"/>
        </w:rPr>
      </w:pPr>
    </w:p>
    <w:p w14:paraId="4F89B2FD" w14:textId="347C59A7" w:rsidR="001F76FF" w:rsidRDefault="00EC2C94" w:rsidP="001F76FF">
      <w:pPr>
        <w:contextualSpacing/>
        <w:jc w:val="center"/>
        <w:rPr>
          <w:sz w:val="20"/>
          <w:szCs w:val="20"/>
        </w:rPr>
      </w:pPr>
      <w:r>
        <w:rPr>
          <w:sz w:val="20"/>
          <w:szCs w:val="20"/>
        </w:rPr>
        <w:t>D</w:t>
      </w:r>
      <w:r w:rsidR="001F76FF">
        <w:rPr>
          <w:sz w:val="20"/>
          <w:szCs w:val="20"/>
        </w:rPr>
        <w:t>IETRICH SCHOOL DEAN’S OFFICE</w:t>
      </w:r>
    </w:p>
    <w:p w14:paraId="70A48221" w14:textId="77777777" w:rsidR="001F76FF" w:rsidRDefault="001F76FF" w:rsidP="001F76FF">
      <w:pPr>
        <w:contextualSpacing/>
        <w:jc w:val="center"/>
        <w:rPr>
          <w:b/>
          <w:sz w:val="20"/>
          <w:szCs w:val="20"/>
        </w:rPr>
      </w:pPr>
      <w:r>
        <w:rPr>
          <w:b/>
          <w:sz w:val="20"/>
          <w:szCs w:val="20"/>
        </w:rPr>
        <w:t>Kathleen Blee, Dean</w:t>
      </w:r>
    </w:p>
    <w:p w14:paraId="72210D3E" w14:textId="63E48BF5" w:rsidR="001F76FF" w:rsidRDefault="001F76FF" w:rsidP="001F76FF">
      <w:pPr>
        <w:contextualSpacing/>
        <w:jc w:val="center"/>
        <w:rPr>
          <w:sz w:val="20"/>
          <w:szCs w:val="20"/>
        </w:rPr>
      </w:pPr>
      <w:r>
        <w:rPr>
          <w:sz w:val="20"/>
          <w:szCs w:val="20"/>
        </w:rPr>
        <w:t>Primary Contact:</w:t>
      </w:r>
      <w:r w:rsidR="00946DFB">
        <w:rPr>
          <w:b/>
          <w:sz w:val="20"/>
          <w:szCs w:val="20"/>
        </w:rPr>
        <w:t xml:space="preserve"> Christine Trotman</w:t>
      </w:r>
    </w:p>
    <w:p w14:paraId="7905FB08" w14:textId="7B2F15DF" w:rsidR="001F76FF" w:rsidRDefault="001F76FF" w:rsidP="001F76FF">
      <w:pPr>
        <w:contextualSpacing/>
        <w:jc w:val="center"/>
        <w:rPr>
          <w:sz w:val="20"/>
          <w:szCs w:val="20"/>
        </w:rPr>
      </w:pPr>
      <w:r>
        <w:rPr>
          <w:sz w:val="20"/>
          <w:szCs w:val="20"/>
        </w:rPr>
        <w:t xml:space="preserve">Email: </w:t>
      </w:r>
      <w:r w:rsidR="00946DFB" w:rsidRPr="00946DFB">
        <w:rPr>
          <w:sz w:val="20"/>
          <w:szCs w:val="20"/>
        </w:rPr>
        <w:t>cet54@pit</w:t>
      </w:r>
      <w:r w:rsidR="00946DFB">
        <w:rPr>
          <w:sz w:val="20"/>
          <w:szCs w:val="20"/>
        </w:rPr>
        <w:t>t.edu</w:t>
      </w:r>
    </w:p>
    <w:p w14:paraId="14F6F454" w14:textId="32326481" w:rsidR="00EC2C94" w:rsidRDefault="00836B93" w:rsidP="00946DFB">
      <w:pPr>
        <w:contextualSpacing/>
        <w:jc w:val="center"/>
        <w:rPr>
          <w:sz w:val="20"/>
          <w:szCs w:val="20"/>
        </w:rPr>
      </w:pPr>
      <w:r>
        <w:rPr>
          <w:sz w:val="20"/>
          <w:szCs w:val="20"/>
        </w:rPr>
        <w:t>Phone: 412-624-6090</w:t>
      </w:r>
    </w:p>
    <w:tbl>
      <w:tblPr>
        <w:tblStyle w:val="TableGrid"/>
        <w:tblpPr w:leftFromText="180" w:rightFromText="180" w:vertAnchor="page" w:horzAnchor="margin" w:tblpY="1511"/>
        <w:tblW w:w="5000" w:type="pct"/>
        <w:tblLook w:val="04A0" w:firstRow="1" w:lastRow="0" w:firstColumn="1" w:lastColumn="0" w:noHBand="0" w:noVBand="1"/>
      </w:tblPr>
      <w:tblGrid>
        <w:gridCol w:w="2365"/>
        <w:gridCol w:w="2331"/>
        <w:gridCol w:w="2164"/>
        <w:gridCol w:w="2020"/>
        <w:gridCol w:w="1704"/>
        <w:gridCol w:w="1868"/>
        <w:gridCol w:w="1938"/>
      </w:tblGrid>
      <w:tr w:rsidR="00E831A2" w:rsidRPr="00895681" w14:paraId="3A1C3A5B" w14:textId="5133E002" w:rsidTr="00EC2C94">
        <w:tc>
          <w:tcPr>
            <w:tcW w:w="822" w:type="pct"/>
            <w:shd w:val="clear" w:color="auto" w:fill="auto"/>
          </w:tcPr>
          <w:p w14:paraId="4F49382D" w14:textId="77777777" w:rsidR="00836B93" w:rsidRPr="00895681" w:rsidRDefault="00836B93" w:rsidP="00EC2C94">
            <w:pPr>
              <w:rPr>
                <w:b/>
                <w:sz w:val="20"/>
                <w:szCs w:val="20"/>
              </w:rPr>
            </w:pPr>
            <w:r w:rsidRPr="00895681">
              <w:rPr>
                <w:b/>
                <w:sz w:val="20"/>
                <w:szCs w:val="20"/>
              </w:rPr>
              <w:lastRenderedPageBreak/>
              <w:t>John Twyning</w:t>
            </w:r>
          </w:p>
          <w:p w14:paraId="46FCF0B6" w14:textId="40B57C7F" w:rsidR="00836B93" w:rsidRPr="00895681" w:rsidRDefault="00836B93" w:rsidP="00EC2C94">
            <w:pPr>
              <w:rPr>
                <w:sz w:val="20"/>
                <w:szCs w:val="20"/>
              </w:rPr>
            </w:pPr>
            <w:r w:rsidRPr="00895681">
              <w:rPr>
                <w:sz w:val="20"/>
                <w:szCs w:val="20"/>
              </w:rPr>
              <w:t xml:space="preserve">Associate Dean </w:t>
            </w:r>
            <w:r>
              <w:rPr>
                <w:sz w:val="20"/>
                <w:szCs w:val="20"/>
              </w:rPr>
              <w:t>for Undergraduate Studies and the College of General Studies</w:t>
            </w:r>
          </w:p>
          <w:p w14:paraId="70AB5234" w14:textId="77777777" w:rsidR="00836B93" w:rsidRPr="00895681" w:rsidRDefault="00836B93" w:rsidP="00EC2C94">
            <w:pPr>
              <w:rPr>
                <w:sz w:val="20"/>
                <w:szCs w:val="20"/>
              </w:rPr>
            </w:pPr>
          </w:p>
          <w:p w14:paraId="777D77CB" w14:textId="77777777" w:rsidR="00836B93" w:rsidRPr="00895681" w:rsidRDefault="00836B93" w:rsidP="00EC2C94">
            <w:pPr>
              <w:rPr>
                <w:b/>
                <w:sz w:val="20"/>
                <w:szCs w:val="20"/>
              </w:rPr>
            </w:pPr>
            <w:r w:rsidRPr="00895681">
              <w:rPr>
                <w:b/>
                <w:sz w:val="20"/>
                <w:szCs w:val="20"/>
              </w:rPr>
              <w:t>Jessica Hatherill</w:t>
            </w:r>
          </w:p>
          <w:p w14:paraId="23699DF6" w14:textId="7C49CF7B" w:rsidR="00836B93" w:rsidRPr="00895681" w:rsidRDefault="00836B93" w:rsidP="00EC2C94">
            <w:pPr>
              <w:rPr>
                <w:sz w:val="20"/>
                <w:szCs w:val="20"/>
              </w:rPr>
            </w:pPr>
            <w:r>
              <w:rPr>
                <w:sz w:val="20"/>
                <w:szCs w:val="20"/>
              </w:rPr>
              <w:t>Executive Director,</w:t>
            </w:r>
            <w:r w:rsidRPr="00895681">
              <w:rPr>
                <w:sz w:val="20"/>
                <w:szCs w:val="20"/>
              </w:rPr>
              <w:t xml:space="preserve"> Undergrad</w:t>
            </w:r>
            <w:r>
              <w:rPr>
                <w:sz w:val="20"/>
                <w:szCs w:val="20"/>
              </w:rPr>
              <w:t xml:space="preserve">uate </w:t>
            </w:r>
            <w:proofErr w:type="gramStart"/>
            <w:r w:rsidRPr="00895681">
              <w:rPr>
                <w:sz w:val="20"/>
                <w:szCs w:val="20"/>
              </w:rPr>
              <w:t>Studies</w:t>
            </w:r>
            <w:proofErr w:type="gramEnd"/>
            <w:r>
              <w:rPr>
                <w:sz w:val="20"/>
                <w:szCs w:val="20"/>
              </w:rPr>
              <w:t xml:space="preserve"> and the College of General Studies</w:t>
            </w:r>
          </w:p>
        </w:tc>
        <w:tc>
          <w:tcPr>
            <w:tcW w:w="810" w:type="pct"/>
            <w:shd w:val="clear" w:color="auto" w:fill="auto"/>
          </w:tcPr>
          <w:p w14:paraId="25DD998C" w14:textId="464CD682" w:rsidR="00836B93" w:rsidRPr="00895681" w:rsidRDefault="00946DFB" w:rsidP="00EC2C94">
            <w:pPr>
              <w:rPr>
                <w:b/>
                <w:sz w:val="20"/>
                <w:szCs w:val="20"/>
              </w:rPr>
            </w:pPr>
            <w:r>
              <w:rPr>
                <w:b/>
                <w:sz w:val="20"/>
                <w:szCs w:val="20"/>
              </w:rPr>
              <w:t>Jonathan Woon</w:t>
            </w:r>
          </w:p>
          <w:p w14:paraId="415845A8" w14:textId="24B30DF2" w:rsidR="00836B93" w:rsidRDefault="00836B93" w:rsidP="00EC2C94">
            <w:pPr>
              <w:rPr>
                <w:sz w:val="20"/>
                <w:szCs w:val="20"/>
              </w:rPr>
            </w:pPr>
            <w:r w:rsidRPr="00895681">
              <w:rPr>
                <w:sz w:val="20"/>
                <w:szCs w:val="20"/>
              </w:rPr>
              <w:t xml:space="preserve">Associate Dean </w:t>
            </w:r>
            <w:r>
              <w:rPr>
                <w:sz w:val="20"/>
                <w:szCs w:val="20"/>
              </w:rPr>
              <w:t>for Graduate Studies</w:t>
            </w:r>
          </w:p>
          <w:p w14:paraId="727527E7" w14:textId="77777777" w:rsidR="00836B93" w:rsidRDefault="00836B93" w:rsidP="00EC2C94">
            <w:pPr>
              <w:rPr>
                <w:sz w:val="20"/>
                <w:szCs w:val="20"/>
              </w:rPr>
            </w:pPr>
          </w:p>
          <w:p w14:paraId="1388BC03" w14:textId="77777777" w:rsidR="00836B93" w:rsidRPr="00895681" w:rsidRDefault="00836B93" w:rsidP="00EC2C94">
            <w:pPr>
              <w:rPr>
                <w:sz w:val="20"/>
                <w:szCs w:val="20"/>
              </w:rPr>
            </w:pPr>
          </w:p>
        </w:tc>
        <w:tc>
          <w:tcPr>
            <w:tcW w:w="752" w:type="pct"/>
            <w:shd w:val="clear" w:color="auto" w:fill="auto"/>
          </w:tcPr>
          <w:p w14:paraId="7FA17290" w14:textId="77777777" w:rsidR="00836B93" w:rsidRDefault="00836B93" w:rsidP="00EC2C94">
            <w:pPr>
              <w:rPr>
                <w:b/>
                <w:sz w:val="20"/>
                <w:szCs w:val="20"/>
              </w:rPr>
            </w:pPr>
            <w:r>
              <w:rPr>
                <w:b/>
                <w:sz w:val="20"/>
                <w:szCs w:val="20"/>
              </w:rPr>
              <w:t>Kay Brummond</w:t>
            </w:r>
          </w:p>
          <w:p w14:paraId="6FB4F658" w14:textId="117E132E" w:rsidR="00836B93" w:rsidRDefault="00836B93" w:rsidP="00EC2C94">
            <w:pPr>
              <w:rPr>
                <w:sz w:val="20"/>
                <w:szCs w:val="20"/>
              </w:rPr>
            </w:pPr>
            <w:r>
              <w:rPr>
                <w:sz w:val="20"/>
                <w:szCs w:val="20"/>
              </w:rPr>
              <w:t>Associate Dean for Faculty</w:t>
            </w:r>
          </w:p>
          <w:p w14:paraId="0C5B8DE0" w14:textId="77777777" w:rsidR="00836B93" w:rsidRDefault="00836B93" w:rsidP="00EC2C94">
            <w:pPr>
              <w:rPr>
                <w:sz w:val="20"/>
                <w:szCs w:val="20"/>
              </w:rPr>
            </w:pPr>
          </w:p>
          <w:p w14:paraId="2F5E8040" w14:textId="77777777" w:rsidR="00836B93" w:rsidRPr="00EC0D3C" w:rsidRDefault="00836B93" w:rsidP="00EC2C94">
            <w:pPr>
              <w:rPr>
                <w:sz w:val="20"/>
                <w:szCs w:val="20"/>
              </w:rPr>
            </w:pPr>
          </w:p>
        </w:tc>
        <w:tc>
          <w:tcPr>
            <w:tcW w:w="702" w:type="pct"/>
            <w:shd w:val="clear" w:color="auto" w:fill="auto"/>
          </w:tcPr>
          <w:p w14:paraId="576AE1BA" w14:textId="77777777" w:rsidR="00836B93" w:rsidRPr="00895681" w:rsidRDefault="00836B93" w:rsidP="00EC2C94">
            <w:pPr>
              <w:rPr>
                <w:b/>
                <w:sz w:val="20"/>
                <w:szCs w:val="20"/>
              </w:rPr>
            </w:pPr>
            <w:r>
              <w:rPr>
                <w:b/>
                <w:sz w:val="20"/>
                <w:szCs w:val="20"/>
              </w:rPr>
              <w:t>Adam Leibovich</w:t>
            </w:r>
          </w:p>
          <w:p w14:paraId="3A628B8A" w14:textId="62452173" w:rsidR="00836B93" w:rsidRDefault="00836B93" w:rsidP="00EC2C94">
            <w:pPr>
              <w:rPr>
                <w:sz w:val="20"/>
                <w:szCs w:val="20"/>
              </w:rPr>
            </w:pPr>
            <w:r w:rsidRPr="00895681">
              <w:rPr>
                <w:sz w:val="20"/>
                <w:szCs w:val="20"/>
              </w:rPr>
              <w:t xml:space="preserve">Associate Dean </w:t>
            </w:r>
            <w:r>
              <w:rPr>
                <w:sz w:val="20"/>
                <w:szCs w:val="20"/>
              </w:rPr>
              <w:t xml:space="preserve">for Research </w:t>
            </w:r>
            <w:r w:rsidR="00EB1528">
              <w:rPr>
                <w:sz w:val="20"/>
                <w:szCs w:val="20"/>
              </w:rPr>
              <w:t xml:space="preserve">and Faculty </w:t>
            </w:r>
            <w:r>
              <w:rPr>
                <w:sz w:val="20"/>
                <w:szCs w:val="20"/>
              </w:rPr>
              <w:t>Development</w:t>
            </w:r>
          </w:p>
          <w:p w14:paraId="71900758" w14:textId="77777777" w:rsidR="00836B93" w:rsidRPr="00EC0D3C" w:rsidRDefault="00836B93" w:rsidP="00EC2C94">
            <w:pPr>
              <w:rPr>
                <w:sz w:val="20"/>
                <w:szCs w:val="20"/>
              </w:rPr>
            </w:pPr>
          </w:p>
        </w:tc>
        <w:tc>
          <w:tcPr>
            <w:tcW w:w="592" w:type="pct"/>
            <w:shd w:val="clear" w:color="auto" w:fill="auto"/>
          </w:tcPr>
          <w:p w14:paraId="3D76AF7C" w14:textId="77777777" w:rsidR="00836B93" w:rsidRPr="00895681" w:rsidRDefault="00836B93" w:rsidP="00EC2C94">
            <w:pPr>
              <w:rPr>
                <w:b/>
                <w:sz w:val="20"/>
                <w:szCs w:val="20"/>
              </w:rPr>
            </w:pPr>
            <w:r w:rsidRPr="00895681">
              <w:rPr>
                <w:b/>
                <w:sz w:val="20"/>
                <w:szCs w:val="20"/>
              </w:rPr>
              <w:t>Patrick Cunningham</w:t>
            </w:r>
          </w:p>
          <w:p w14:paraId="0D36ECE9" w14:textId="77777777" w:rsidR="00836B93" w:rsidRDefault="00836B93" w:rsidP="00EC2C94">
            <w:pPr>
              <w:rPr>
                <w:sz w:val="20"/>
                <w:szCs w:val="20"/>
              </w:rPr>
            </w:pPr>
            <w:r w:rsidRPr="00895681">
              <w:rPr>
                <w:sz w:val="20"/>
                <w:szCs w:val="20"/>
              </w:rPr>
              <w:t xml:space="preserve">Executive Director </w:t>
            </w:r>
            <w:r>
              <w:rPr>
                <w:sz w:val="20"/>
                <w:szCs w:val="20"/>
              </w:rPr>
              <w:t>for Financial and Physical Resources</w:t>
            </w:r>
          </w:p>
          <w:p w14:paraId="0F2B575A" w14:textId="77777777" w:rsidR="00836B93" w:rsidRDefault="00836B93" w:rsidP="00EC2C94">
            <w:pPr>
              <w:rPr>
                <w:sz w:val="20"/>
                <w:szCs w:val="20"/>
              </w:rPr>
            </w:pPr>
          </w:p>
          <w:p w14:paraId="0CC2CDB9" w14:textId="77777777" w:rsidR="00836B93" w:rsidRPr="00895681" w:rsidRDefault="00836B93" w:rsidP="00EC2C94">
            <w:pPr>
              <w:rPr>
                <w:sz w:val="20"/>
                <w:szCs w:val="20"/>
              </w:rPr>
            </w:pPr>
          </w:p>
        </w:tc>
        <w:tc>
          <w:tcPr>
            <w:tcW w:w="649" w:type="pct"/>
            <w:tcBorders>
              <w:right w:val="single" w:sz="4" w:space="0" w:color="auto"/>
            </w:tcBorders>
            <w:shd w:val="clear" w:color="auto" w:fill="auto"/>
          </w:tcPr>
          <w:p w14:paraId="285AE443" w14:textId="77777777" w:rsidR="00836B93" w:rsidRPr="00895681" w:rsidRDefault="00836B93" w:rsidP="00EC2C94">
            <w:pPr>
              <w:rPr>
                <w:b/>
                <w:sz w:val="20"/>
                <w:szCs w:val="20"/>
              </w:rPr>
            </w:pPr>
            <w:r w:rsidRPr="00895681">
              <w:rPr>
                <w:b/>
                <w:sz w:val="20"/>
                <w:szCs w:val="20"/>
              </w:rPr>
              <w:t xml:space="preserve">Michele </w:t>
            </w:r>
            <w:r>
              <w:rPr>
                <w:b/>
                <w:sz w:val="20"/>
                <w:szCs w:val="20"/>
              </w:rPr>
              <w:t>Montag</w:t>
            </w:r>
          </w:p>
          <w:p w14:paraId="41F39EB4" w14:textId="0D01B8E0" w:rsidR="00836B93" w:rsidRPr="00895681" w:rsidRDefault="00836B93" w:rsidP="00EC2C94">
            <w:pPr>
              <w:rPr>
                <w:sz w:val="20"/>
                <w:szCs w:val="20"/>
              </w:rPr>
            </w:pPr>
            <w:r>
              <w:rPr>
                <w:sz w:val="20"/>
                <w:szCs w:val="20"/>
              </w:rPr>
              <w:t xml:space="preserve">Executive Director </w:t>
            </w:r>
            <w:r w:rsidR="00EB1528">
              <w:rPr>
                <w:sz w:val="20"/>
                <w:szCs w:val="20"/>
              </w:rPr>
              <w:t>of Administration</w:t>
            </w:r>
          </w:p>
        </w:tc>
        <w:tc>
          <w:tcPr>
            <w:tcW w:w="673" w:type="pct"/>
            <w:tcBorders>
              <w:right w:val="single" w:sz="4" w:space="0" w:color="auto"/>
            </w:tcBorders>
          </w:tcPr>
          <w:p w14:paraId="11504538" w14:textId="77777777" w:rsidR="00836B93" w:rsidRDefault="00836B93" w:rsidP="00EC2C94">
            <w:pPr>
              <w:rPr>
                <w:b/>
                <w:sz w:val="20"/>
                <w:szCs w:val="20"/>
              </w:rPr>
            </w:pPr>
            <w:r>
              <w:rPr>
                <w:b/>
                <w:sz w:val="20"/>
                <w:szCs w:val="20"/>
              </w:rPr>
              <w:t>Tara Meyer</w:t>
            </w:r>
          </w:p>
          <w:p w14:paraId="4E259314" w14:textId="6ECBAF82" w:rsidR="00836B93" w:rsidRPr="00836B93" w:rsidRDefault="00836B93" w:rsidP="00EC2C94">
            <w:pPr>
              <w:rPr>
                <w:bCs/>
                <w:sz w:val="20"/>
                <w:szCs w:val="20"/>
              </w:rPr>
            </w:pPr>
            <w:r w:rsidRPr="00836B93">
              <w:rPr>
                <w:bCs/>
                <w:sz w:val="20"/>
                <w:szCs w:val="20"/>
              </w:rPr>
              <w:t>Senior Advisor to the Dean on Diversity, Equity, and Inclusion</w:t>
            </w:r>
          </w:p>
        </w:tc>
      </w:tr>
      <w:tr w:rsidR="00E831A2" w:rsidRPr="00895681" w14:paraId="36F5EF23" w14:textId="128844C1" w:rsidTr="00EC2C94">
        <w:tc>
          <w:tcPr>
            <w:tcW w:w="822" w:type="pct"/>
          </w:tcPr>
          <w:p w14:paraId="67F77C2A" w14:textId="77777777" w:rsidR="00836B93" w:rsidRDefault="00836B93" w:rsidP="00EC2C94">
            <w:pPr>
              <w:rPr>
                <w:sz w:val="20"/>
                <w:szCs w:val="20"/>
              </w:rPr>
            </w:pPr>
            <w:r w:rsidRPr="00444EDA">
              <w:rPr>
                <w:sz w:val="20"/>
                <w:szCs w:val="20"/>
              </w:rPr>
              <w:t>Undergraduate aca</w:t>
            </w:r>
            <w:r>
              <w:rPr>
                <w:sz w:val="20"/>
                <w:szCs w:val="20"/>
              </w:rPr>
              <w:t>demic policies and procedures, a</w:t>
            </w:r>
            <w:r w:rsidRPr="00444EDA">
              <w:rPr>
                <w:sz w:val="20"/>
                <w:szCs w:val="20"/>
              </w:rPr>
              <w:t>ssessment of student learning, Undergrad Advising, Student Records, College in High School, Undergraduate Research, First-Year Programs, Academic Success Initiatives (incl</w:t>
            </w:r>
            <w:r>
              <w:rPr>
                <w:sz w:val="20"/>
                <w:szCs w:val="20"/>
              </w:rPr>
              <w:t>.</w:t>
            </w:r>
            <w:r w:rsidRPr="00444EDA">
              <w:rPr>
                <w:sz w:val="20"/>
                <w:szCs w:val="20"/>
              </w:rPr>
              <w:t xml:space="preserve"> Tutoring and Academic Skills Workshops; formerly the Academic Resource Center), Student Support Services.  Liaison to Office of Admissions and Financial Aid. Academic oversight of CGS.</w:t>
            </w:r>
          </w:p>
          <w:p w14:paraId="1C633F8F" w14:textId="77777777" w:rsidR="00836B93" w:rsidRDefault="00836B93" w:rsidP="00EC2C94">
            <w:pPr>
              <w:rPr>
                <w:sz w:val="20"/>
                <w:szCs w:val="20"/>
              </w:rPr>
            </w:pPr>
          </w:p>
          <w:p w14:paraId="268A24CC" w14:textId="77777777" w:rsidR="00836B93" w:rsidRPr="00444EDA" w:rsidRDefault="00836B93" w:rsidP="00EC2C94">
            <w:pPr>
              <w:rPr>
                <w:sz w:val="20"/>
                <w:szCs w:val="20"/>
              </w:rPr>
            </w:pPr>
            <w:r w:rsidRPr="00895681">
              <w:rPr>
                <w:sz w:val="20"/>
                <w:szCs w:val="20"/>
              </w:rPr>
              <w:t xml:space="preserve">Non-traditional students, including </w:t>
            </w:r>
            <w:r>
              <w:rPr>
                <w:sz w:val="20"/>
                <w:szCs w:val="20"/>
              </w:rPr>
              <w:t>targeted academic and student</w:t>
            </w:r>
            <w:r w:rsidRPr="00895681">
              <w:rPr>
                <w:sz w:val="20"/>
                <w:szCs w:val="20"/>
              </w:rPr>
              <w:t xml:space="preserve"> support</w:t>
            </w:r>
            <w:r>
              <w:rPr>
                <w:sz w:val="20"/>
                <w:szCs w:val="20"/>
              </w:rPr>
              <w:t xml:space="preserve"> programming</w:t>
            </w:r>
            <w:r w:rsidRPr="00895681">
              <w:rPr>
                <w:sz w:val="20"/>
                <w:szCs w:val="20"/>
              </w:rPr>
              <w:t>; Veteran’s Services, Osher Lifelong Learning Institute.</w:t>
            </w:r>
          </w:p>
        </w:tc>
        <w:tc>
          <w:tcPr>
            <w:tcW w:w="810" w:type="pct"/>
          </w:tcPr>
          <w:p w14:paraId="1CB26367" w14:textId="77777777" w:rsidR="00836B93" w:rsidRPr="00F72B8E" w:rsidRDefault="00836B93" w:rsidP="00EC2C94">
            <w:pPr>
              <w:rPr>
                <w:sz w:val="20"/>
                <w:szCs w:val="20"/>
              </w:rPr>
            </w:pPr>
            <w:r>
              <w:rPr>
                <w:sz w:val="20"/>
                <w:szCs w:val="20"/>
              </w:rPr>
              <w:t>G</w:t>
            </w:r>
            <w:r w:rsidRPr="00895681">
              <w:rPr>
                <w:sz w:val="20"/>
                <w:szCs w:val="20"/>
              </w:rPr>
              <w:t xml:space="preserve">raduate student admission, student support, graduation. </w:t>
            </w:r>
            <w:r>
              <w:rPr>
                <w:sz w:val="20"/>
                <w:szCs w:val="20"/>
              </w:rPr>
              <w:t xml:space="preserve">Edwards Publication fund. </w:t>
            </w:r>
            <w:r w:rsidRPr="00F72B8E">
              <w:rPr>
                <w:sz w:val="20"/>
                <w:szCs w:val="20"/>
              </w:rPr>
              <w:t>Diversity programming.</w:t>
            </w:r>
          </w:p>
          <w:p w14:paraId="029C303A" w14:textId="77777777" w:rsidR="00836B93" w:rsidRPr="00F72B8E" w:rsidRDefault="00836B93" w:rsidP="00EC2C94">
            <w:pPr>
              <w:rPr>
                <w:sz w:val="20"/>
                <w:szCs w:val="20"/>
              </w:rPr>
            </w:pPr>
            <w:r w:rsidRPr="00F72B8E">
              <w:rPr>
                <w:sz w:val="20"/>
                <w:szCs w:val="20"/>
              </w:rPr>
              <w:t>Faculty development in grant writing and preparing funding proposals for grants, con</w:t>
            </w:r>
            <w:r>
              <w:rPr>
                <w:sz w:val="20"/>
                <w:szCs w:val="20"/>
              </w:rPr>
              <w:t>tracts, and philanthropic gifts.</w:t>
            </w:r>
            <w:r w:rsidRPr="00F72B8E">
              <w:rPr>
                <w:sz w:val="20"/>
                <w:szCs w:val="20"/>
              </w:rPr>
              <w:t xml:space="preserve"> </w:t>
            </w:r>
            <w:r>
              <w:rPr>
                <w:sz w:val="20"/>
                <w:szCs w:val="20"/>
              </w:rPr>
              <w:t>S</w:t>
            </w:r>
            <w:r w:rsidRPr="00F72B8E">
              <w:rPr>
                <w:sz w:val="20"/>
                <w:szCs w:val="20"/>
              </w:rPr>
              <w:t xml:space="preserve">upport for </w:t>
            </w:r>
            <w:r>
              <w:rPr>
                <w:sz w:val="20"/>
                <w:szCs w:val="20"/>
              </w:rPr>
              <w:t xml:space="preserve">faculty </w:t>
            </w:r>
            <w:r w:rsidRPr="00F72B8E">
              <w:rPr>
                <w:sz w:val="20"/>
                <w:szCs w:val="20"/>
              </w:rPr>
              <w:t>scholarship across the departments of the humanities and social sciences.</w:t>
            </w:r>
            <w:r w:rsidRPr="00F72B8E">
              <w:t xml:space="preserve">  </w:t>
            </w:r>
          </w:p>
        </w:tc>
        <w:tc>
          <w:tcPr>
            <w:tcW w:w="752" w:type="pct"/>
          </w:tcPr>
          <w:p w14:paraId="3CF2D153" w14:textId="77777777" w:rsidR="00836B93" w:rsidRPr="00F72B8E" w:rsidRDefault="00836B93" w:rsidP="00EC2C94">
            <w:pPr>
              <w:rPr>
                <w:sz w:val="20"/>
                <w:szCs w:val="20"/>
              </w:rPr>
            </w:pPr>
            <w:r w:rsidRPr="00F72B8E">
              <w:rPr>
                <w:sz w:val="20"/>
                <w:szCs w:val="20"/>
              </w:rPr>
              <w:t>Tenure, promotion, and contract renewals</w:t>
            </w:r>
            <w:r>
              <w:rPr>
                <w:sz w:val="20"/>
                <w:szCs w:val="20"/>
              </w:rPr>
              <w:t>; f</w:t>
            </w:r>
            <w:r w:rsidRPr="00F72B8E">
              <w:rPr>
                <w:sz w:val="20"/>
                <w:szCs w:val="20"/>
              </w:rPr>
              <w:t>aculty leaves, sabbaticals, transfers out of the tenure stream</w:t>
            </w:r>
            <w:r>
              <w:rPr>
                <w:sz w:val="20"/>
                <w:szCs w:val="20"/>
              </w:rPr>
              <w:t>; faculty grievances and allegations against faculty; f</w:t>
            </w:r>
            <w:r w:rsidRPr="00F72B8E">
              <w:rPr>
                <w:sz w:val="20"/>
                <w:szCs w:val="20"/>
              </w:rPr>
              <w:t>aculty fellowships</w:t>
            </w:r>
            <w:r>
              <w:rPr>
                <w:sz w:val="20"/>
                <w:szCs w:val="20"/>
              </w:rPr>
              <w:t>; faculty m</w:t>
            </w:r>
            <w:r w:rsidRPr="00F72B8E">
              <w:rPr>
                <w:sz w:val="20"/>
                <w:szCs w:val="20"/>
              </w:rPr>
              <w:t>entoring</w:t>
            </w:r>
            <w:r>
              <w:rPr>
                <w:sz w:val="20"/>
                <w:szCs w:val="20"/>
              </w:rPr>
              <w:t xml:space="preserve"> programs and leadership development; faculty diversity initiatives; departmental strategic planning. </w:t>
            </w:r>
            <w:r w:rsidRPr="00F72B8E">
              <w:rPr>
                <w:sz w:val="20"/>
                <w:szCs w:val="20"/>
              </w:rPr>
              <w:t>Advise</w:t>
            </w:r>
            <w:r>
              <w:rPr>
                <w:sz w:val="20"/>
                <w:szCs w:val="20"/>
              </w:rPr>
              <w:t>/mentor</w:t>
            </w:r>
            <w:r w:rsidRPr="00F72B8E">
              <w:rPr>
                <w:sz w:val="20"/>
                <w:szCs w:val="20"/>
              </w:rPr>
              <w:t xml:space="preserve"> chairs and center and program directors</w:t>
            </w:r>
            <w:r>
              <w:rPr>
                <w:sz w:val="20"/>
                <w:szCs w:val="20"/>
              </w:rPr>
              <w:t>.</w:t>
            </w:r>
          </w:p>
        </w:tc>
        <w:tc>
          <w:tcPr>
            <w:tcW w:w="702" w:type="pct"/>
          </w:tcPr>
          <w:p w14:paraId="4A553618" w14:textId="77777777" w:rsidR="00836B93" w:rsidRPr="00787258" w:rsidRDefault="00836B93" w:rsidP="00EC2C94">
            <w:pPr>
              <w:rPr>
                <w:sz w:val="20"/>
                <w:szCs w:val="20"/>
              </w:rPr>
            </w:pPr>
            <w:r w:rsidRPr="000D02FD">
              <w:rPr>
                <w:sz w:val="20"/>
                <w:szCs w:val="20"/>
              </w:rPr>
              <w:t>Recruiting</w:t>
            </w:r>
            <w:r>
              <w:rPr>
                <w:sz w:val="20"/>
                <w:szCs w:val="20"/>
              </w:rPr>
              <w:t>, hiring,</w:t>
            </w:r>
            <w:r w:rsidRPr="000D02FD">
              <w:rPr>
                <w:sz w:val="20"/>
                <w:szCs w:val="20"/>
              </w:rPr>
              <w:t xml:space="preserve"> and research development for </w:t>
            </w:r>
            <w:r>
              <w:rPr>
                <w:sz w:val="20"/>
                <w:szCs w:val="20"/>
              </w:rPr>
              <w:t xml:space="preserve">all faculty; management of the ancillary </w:t>
            </w:r>
            <w:r w:rsidRPr="00787258">
              <w:rPr>
                <w:sz w:val="20"/>
                <w:szCs w:val="20"/>
              </w:rPr>
              <w:t xml:space="preserve">budget; course releases; salary </w:t>
            </w:r>
            <w:proofErr w:type="gramStart"/>
            <w:r w:rsidRPr="00787258">
              <w:rPr>
                <w:sz w:val="20"/>
                <w:szCs w:val="20"/>
              </w:rPr>
              <w:t>reconsiderations;</w:t>
            </w:r>
            <w:proofErr w:type="gramEnd"/>
          </w:p>
          <w:p w14:paraId="42091880" w14:textId="77777777" w:rsidR="00836B93" w:rsidRPr="00787258" w:rsidRDefault="00836B93" w:rsidP="00EC2C94">
            <w:pPr>
              <w:rPr>
                <w:sz w:val="20"/>
                <w:szCs w:val="20"/>
              </w:rPr>
            </w:pPr>
            <w:r>
              <w:rPr>
                <w:sz w:val="20"/>
                <w:szCs w:val="20"/>
              </w:rPr>
              <w:t xml:space="preserve">secondary and joint appointments; </w:t>
            </w:r>
            <w:r w:rsidRPr="00787258">
              <w:rPr>
                <w:sz w:val="20"/>
                <w:szCs w:val="20"/>
              </w:rPr>
              <w:t>faculty retirements and terminations.</w:t>
            </w:r>
          </w:p>
          <w:p w14:paraId="71FDC1E9" w14:textId="77777777" w:rsidR="00836B93" w:rsidRPr="00787258" w:rsidRDefault="00836B93" w:rsidP="00EC2C94">
            <w:pPr>
              <w:rPr>
                <w:sz w:val="20"/>
                <w:szCs w:val="20"/>
              </w:rPr>
            </w:pPr>
            <w:r w:rsidRPr="00787258">
              <w:rPr>
                <w:sz w:val="20"/>
                <w:szCs w:val="20"/>
              </w:rPr>
              <w:t>Foster cross-departmental and cross-institutional research; advise on major equipment and instrumentation purchases; provide oversight of COI, IP, and consulting agreements.</w:t>
            </w:r>
          </w:p>
          <w:p w14:paraId="2F04F890" w14:textId="77777777" w:rsidR="00836B93" w:rsidRPr="000D02FD" w:rsidRDefault="00836B93" w:rsidP="00EC2C94">
            <w:pPr>
              <w:rPr>
                <w:sz w:val="20"/>
                <w:szCs w:val="20"/>
              </w:rPr>
            </w:pPr>
          </w:p>
        </w:tc>
        <w:tc>
          <w:tcPr>
            <w:tcW w:w="592" w:type="pct"/>
          </w:tcPr>
          <w:p w14:paraId="6CC07BF5" w14:textId="77777777" w:rsidR="00836B93" w:rsidRPr="00895681" w:rsidRDefault="00836B93" w:rsidP="00EC2C94">
            <w:pPr>
              <w:rPr>
                <w:sz w:val="20"/>
                <w:szCs w:val="20"/>
              </w:rPr>
            </w:pPr>
            <w:r w:rsidRPr="00895681">
              <w:rPr>
                <w:sz w:val="20"/>
                <w:szCs w:val="20"/>
              </w:rPr>
              <w:t>Budget, enrollment, space allocation, capital projects</w:t>
            </w:r>
            <w:r>
              <w:rPr>
                <w:sz w:val="20"/>
                <w:szCs w:val="20"/>
              </w:rPr>
              <w:t xml:space="preserve">. Supervisory oversight of finance, IT support, sponsored research administration, shared research support services, </w:t>
            </w:r>
            <w:proofErr w:type="gramStart"/>
            <w:r>
              <w:rPr>
                <w:sz w:val="20"/>
                <w:szCs w:val="20"/>
              </w:rPr>
              <w:t>facilities</w:t>
            </w:r>
            <w:proofErr w:type="gramEnd"/>
            <w:r>
              <w:rPr>
                <w:sz w:val="20"/>
                <w:szCs w:val="20"/>
              </w:rPr>
              <w:t xml:space="preserve"> and construction operations</w:t>
            </w:r>
            <w:r w:rsidRPr="00895681">
              <w:rPr>
                <w:sz w:val="20"/>
                <w:szCs w:val="20"/>
              </w:rPr>
              <w:t xml:space="preserve">. </w:t>
            </w:r>
          </w:p>
        </w:tc>
        <w:tc>
          <w:tcPr>
            <w:tcW w:w="649" w:type="pct"/>
            <w:tcBorders>
              <w:right w:val="single" w:sz="4" w:space="0" w:color="auto"/>
            </w:tcBorders>
          </w:tcPr>
          <w:p w14:paraId="2F60696E" w14:textId="77777777" w:rsidR="00836B93" w:rsidRDefault="00836B93" w:rsidP="00EC2C94">
            <w:pPr>
              <w:rPr>
                <w:sz w:val="20"/>
                <w:szCs w:val="20"/>
              </w:rPr>
            </w:pPr>
            <w:r>
              <w:rPr>
                <w:sz w:val="20"/>
                <w:szCs w:val="20"/>
              </w:rPr>
              <w:t xml:space="preserve">Chief of Staff. </w:t>
            </w:r>
          </w:p>
          <w:p w14:paraId="20B96B84" w14:textId="788D4CCF" w:rsidR="00836B93" w:rsidRPr="00895681" w:rsidRDefault="00836B93" w:rsidP="00EC2C94">
            <w:pPr>
              <w:rPr>
                <w:sz w:val="20"/>
                <w:szCs w:val="20"/>
              </w:rPr>
            </w:pPr>
            <w:r>
              <w:rPr>
                <w:sz w:val="20"/>
                <w:szCs w:val="20"/>
              </w:rPr>
              <w:t xml:space="preserve">Staff structure, climate, workforce deployment and development, performance management. Supervisory oversight of Dean’s office support, Payroll/ Personnel, Strategic Communications, Division Administrators. </w:t>
            </w:r>
          </w:p>
          <w:p w14:paraId="045E7688" w14:textId="77777777" w:rsidR="00836B93" w:rsidRPr="00895681" w:rsidRDefault="00836B93" w:rsidP="00EC2C94">
            <w:pPr>
              <w:rPr>
                <w:sz w:val="20"/>
                <w:szCs w:val="20"/>
              </w:rPr>
            </w:pPr>
          </w:p>
        </w:tc>
        <w:tc>
          <w:tcPr>
            <w:tcW w:w="673" w:type="pct"/>
            <w:tcBorders>
              <w:right w:val="single" w:sz="4" w:space="0" w:color="auto"/>
            </w:tcBorders>
          </w:tcPr>
          <w:p w14:paraId="10C25577" w14:textId="51C9EABE" w:rsidR="00836B93" w:rsidRDefault="00836B93" w:rsidP="00EC2C94">
            <w:pPr>
              <w:rPr>
                <w:sz w:val="20"/>
                <w:szCs w:val="20"/>
              </w:rPr>
            </w:pPr>
            <w:r>
              <w:rPr>
                <w:sz w:val="20"/>
                <w:szCs w:val="20"/>
              </w:rPr>
              <w:t>W</w:t>
            </w:r>
            <w:r w:rsidRPr="00836B93">
              <w:rPr>
                <w:sz w:val="20"/>
                <w:szCs w:val="20"/>
              </w:rPr>
              <w:t>ork</w:t>
            </w:r>
            <w:r>
              <w:rPr>
                <w:sz w:val="20"/>
                <w:szCs w:val="20"/>
              </w:rPr>
              <w:t xml:space="preserve">s </w:t>
            </w:r>
            <w:r w:rsidRPr="00836B93">
              <w:rPr>
                <w:sz w:val="20"/>
                <w:szCs w:val="20"/>
              </w:rPr>
              <w:t xml:space="preserve">collaboratively with the Dean, the Faculty and Staff Diversity Committees, and the Diversity Task Force to guide efforts for planning, implementing, and assessing strategies to achieve DEI goals of central importance to the </w:t>
            </w:r>
            <w:proofErr w:type="gramStart"/>
            <w:r w:rsidRPr="00836B93">
              <w:rPr>
                <w:sz w:val="20"/>
                <w:szCs w:val="20"/>
              </w:rPr>
              <w:t>School’s</w:t>
            </w:r>
            <w:proofErr w:type="gramEnd"/>
            <w:r w:rsidRPr="00836B93">
              <w:rPr>
                <w:sz w:val="20"/>
                <w:szCs w:val="20"/>
              </w:rPr>
              <w:t xml:space="preserve"> educational and scholarly excellence.</w:t>
            </w:r>
          </w:p>
        </w:tc>
      </w:tr>
      <w:tr w:rsidR="00E831A2" w:rsidRPr="00895681" w14:paraId="12E6CC9B" w14:textId="0A55764C" w:rsidTr="00EC2C94">
        <w:trPr>
          <w:trHeight w:val="1430"/>
        </w:trPr>
        <w:tc>
          <w:tcPr>
            <w:tcW w:w="822" w:type="pct"/>
            <w:shd w:val="clear" w:color="auto" w:fill="auto"/>
          </w:tcPr>
          <w:p w14:paraId="13E3E03E" w14:textId="77777777" w:rsidR="00836B93" w:rsidRDefault="00836B93" w:rsidP="00EC2C94">
            <w:pPr>
              <w:rPr>
                <w:sz w:val="20"/>
                <w:szCs w:val="20"/>
              </w:rPr>
            </w:pPr>
            <w:r>
              <w:rPr>
                <w:sz w:val="20"/>
                <w:szCs w:val="20"/>
              </w:rPr>
              <w:lastRenderedPageBreak/>
              <w:t>Primary Contact:</w:t>
            </w:r>
          </w:p>
          <w:p w14:paraId="281E6BCA" w14:textId="77777777" w:rsidR="00836B93" w:rsidRDefault="00836B93" w:rsidP="00EC2C94">
            <w:pPr>
              <w:rPr>
                <w:b/>
                <w:sz w:val="20"/>
                <w:szCs w:val="20"/>
              </w:rPr>
            </w:pPr>
          </w:p>
          <w:p w14:paraId="3219DFE1" w14:textId="77777777" w:rsidR="00836B93" w:rsidRPr="009A5B3F" w:rsidRDefault="00836B93" w:rsidP="00EC2C94">
            <w:pPr>
              <w:rPr>
                <w:b/>
                <w:sz w:val="20"/>
                <w:szCs w:val="20"/>
              </w:rPr>
            </w:pPr>
            <w:r w:rsidRPr="009A5B3F">
              <w:rPr>
                <w:b/>
                <w:sz w:val="20"/>
                <w:szCs w:val="20"/>
              </w:rPr>
              <w:t>Maryellen Gannon</w:t>
            </w:r>
          </w:p>
          <w:p w14:paraId="25AE76C2" w14:textId="77777777" w:rsidR="00836B93" w:rsidRDefault="00836B93" w:rsidP="00EC2C94">
            <w:pPr>
              <w:rPr>
                <w:sz w:val="20"/>
                <w:szCs w:val="20"/>
              </w:rPr>
            </w:pPr>
            <w:r>
              <w:rPr>
                <w:sz w:val="20"/>
                <w:szCs w:val="20"/>
              </w:rPr>
              <w:t>412-624-6482</w:t>
            </w:r>
          </w:p>
          <w:p w14:paraId="310EB6E9" w14:textId="27B4CEE7" w:rsidR="00836B93" w:rsidRPr="00A93542" w:rsidRDefault="00946DFB" w:rsidP="00EC2C94">
            <w:pPr>
              <w:rPr>
                <w:sz w:val="20"/>
                <w:szCs w:val="20"/>
              </w:rPr>
            </w:pPr>
            <w:hyperlink r:id="rId8" w:history="1">
              <w:r w:rsidRPr="00A20C32">
                <w:rPr>
                  <w:rStyle w:val="Hyperlink"/>
                  <w:sz w:val="20"/>
                  <w:szCs w:val="20"/>
                </w:rPr>
                <w:t>mhg19@pitt.edu</w:t>
              </w:r>
            </w:hyperlink>
            <w:r w:rsidR="00836B93">
              <w:rPr>
                <w:sz w:val="20"/>
                <w:szCs w:val="20"/>
              </w:rPr>
              <w:t xml:space="preserve"> </w:t>
            </w:r>
          </w:p>
        </w:tc>
        <w:tc>
          <w:tcPr>
            <w:tcW w:w="810" w:type="pct"/>
            <w:shd w:val="clear" w:color="auto" w:fill="auto"/>
          </w:tcPr>
          <w:p w14:paraId="1C8BD898" w14:textId="77777777" w:rsidR="00836B93" w:rsidRDefault="00836B93" w:rsidP="00EC2C94">
            <w:pPr>
              <w:rPr>
                <w:sz w:val="20"/>
                <w:szCs w:val="20"/>
              </w:rPr>
            </w:pPr>
            <w:r>
              <w:rPr>
                <w:sz w:val="20"/>
                <w:szCs w:val="20"/>
              </w:rPr>
              <w:t>Primary Contact:</w:t>
            </w:r>
          </w:p>
          <w:p w14:paraId="3C0111CA" w14:textId="77777777" w:rsidR="00836B93" w:rsidRDefault="00836B93" w:rsidP="00EC2C94">
            <w:pPr>
              <w:rPr>
                <w:b/>
                <w:sz w:val="20"/>
                <w:szCs w:val="20"/>
              </w:rPr>
            </w:pPr>
          </w:p>
          <w:p w14:paraId="101452AB" w14:textId="6E90F142" w:rsidR="00836B93" w:rsidRDefault="00946DFB" w:rsidP="00EC2C94">
            <w:pPr>
              <w:rPr>
                <w:b/>
                <w:sz w:val="20"/>
                <w:szCs w:val="20"/>
              </w:rPr>
            </w:pPr>
            <w:r>
              <w:rPr>
                <w:b/>
                <w:sz w:val="20"/>
                <w:szCs w:val="20"/>
              </w:rPr>
              <w:t>TBD</w:t>
            </w:r>
          </w:p>
          <w:p w14:paraId="76B42D41" w14:textId="77777777" w:rsidR="00836B93" w:rsidRDefault="00836B93" w:rsidP="00EC2C94">
            <w:pPr>
              <w:rPr>
                <w:sz w:val="20"/>
                <w:szCs w:val="20"/>
              </w:rPr>
            </w:pPr>
            <w:r>
              <w:rPr>
                <w:sz w:val="20"/>
                <w:szCs w:val="20"/>
              </w:rPr>
              <w:t>412-624-3939</w:t>
            </w:r>
          </w:p>
          <w:p w14:paraId="79390D39" w14:textId="4984729A" w:rsidR="00836B93" w:rsidRPr="003A246E" w:rsidRDefault="00836B93" w:rsidP="00EC2C94">
            <w:pPr>
              <w:rPr>
                <w:sz w:val="20"/>
                <w:szCs w:val="20"/>
              </w:rPr>
            </w:pPr>
          </w:p>
        </w:tc>
        <w:tc>
          <w:tcPr>
            <w:tcW w:w="752" w:type="pct"/>
            <w:shd w:val="clear" w:color="auto" w:fill="auto"/>
          </w:tcPr>
          <w:p w14:paraId="1CBD323B" w14:textId="77777777" w:rsidR="00836B93" w:rsidRDefault="00836B93" w:rsidP="00EC2C94">
            <w:pPr>
              <w:rPr>
                <w:sz w:val="20"/>
                <w:szCs w:val="20"/>
              </w:rPr>
            </w:pPr>
            <w:r>
              <w:rPr>
                <w:sz w:val="20"/>
                <w:szCs w:val="20"/>
              </w:rPr>
              <w:t>Primary Contact:</w:t>
            </w:r>
          </w:p>
          <w:p w14:paraId="213CB1EA" w14:textId="0D87D1E6" w:rsidR="00836B93" w:rsidRDefault="00946DFB" w:rsidP="00EC2C94">
            <w:pPr>
              <w:rPr>
                <w:sz w:val="20"/>
                <w:szCs w:val="20"/>
              </w:rPr>
            </w:pPr>
            <w:r>
              <w:rPr>
                <w:sz w:val="20"/>
                <w:szCs w:val="20"/>
              </w:rPr>
              <w:t>Stephanie McLaughlin</w:t>
            </w:r>
          </w:p>
          <w:p w14:paraId="6DD1440A" w14:textId="1721FFEA" w:rsidR="00836B93" w:rsidRDefault="00EB1528" w:rsidP="00EC2C94">
            <w:pPr>
              <w:rPr>
                <w:sz w:val="20"/>
                <w:szCs w:val="20"/>
              </w:rPr>
            </w:pPr>
            <w:r>
              <w:rPr>
                <w:sz w:val="20"/>
                <w:szCs w:val="20"/>
              </w:rPr>
              <w:t>412-624-</w:t>
            </w:r>
            <w:r w:rsidR="00946DFB">
              <w:rPr>
                <w:sz w:val="20"/>
                <w:szCs w:val="20"/>
              </w:rPr>
              <w:t>0266</w:t>
            </w:r>
          </w:p>
          <w:p w14:paraId="102C192A" w14:textId="77777777" w:rsidR="00836B93" w:rsidRDefault="00836B93" w:rsidP="00EC2C94">
            <w:pPr>
              <w:rPr>
                <w:b/>
                <w:sz w:val="20"/>
                <w:szCs w:val="20"/>
              </w:rPr>
            </w:pPr>
          </w:p>
        </w:tc>
        <w:tc>
          <w:tcPr>
            <w:tcW w:w="702" w:type="pct"/>
            <w:shd w:val="clear" w:color="auto" w:fill="auto"/>
          </w:tcPr>
          <w:p w14:paraId="06CE1888" w14:textId="77777777" w:rsidR="00836B93" w:rsidRDefault="00836B93" w:rsidP="00EC2C94">
            <w:pPr>
              <w:rPr>
                <w:sz w:val="20"/>
                <w:szCs w:val="20"/>
              </w:rPr>
            </w:pPr>
            <w:r>
              <w:rPr>
                <w:sz w:val="20"/>
                <w:szCs w:val="20"/>
              </w:rPr>
              <w:t>Primary Contact:</w:t>
            </w:r>
          </w:p>
          <w:p w14:paraId="4912507C" w14:textId="598EEF44" w:rsidR="00836B93" w:rsidRPr="00946DFB" w:rsidRDefault="00946DFB" w:rsidP="00EC2C94">
            <w:pPr>
              <w:rPr>
                <w:bCs/>
                <w:sz w:val="20"/>
                <w:szCs w:val="20"/>
              </w:rPr>
            </w:pPr>
            <w:r w:rsidRPr="00946DFB">
              <w:rPr>
                <w:bCs/>
                <w:sz w:val="20"/>
                <w:szCs w:val="20"/>
              </w:rPr>
              <w:t>Stephanie McLaughlin</w:t>
            </w:r>
          </w:p>
          <w:p w14:paraId="3638E6CD" w14:textId="4A663D08" w:rsidR="00836B93" w:rsidRDefault="00836B93" w:rsidP="00EC2C94">
            <w:pPr>
              <w:rPr>
                <w:sz w:val="20"/>
                <w:szCs w:val="20"/>
              </w:rPr>
            </w:pPr>
            <w:r>
              <w:rPr>
                <w:sz w:val="20"/>
                <w:szCs w:val="20"/>
              </w:rPr>
              <w:t>412-624-</w:t>
            </w:r>
            <w:r w:rsidR="00946DFB">
              <w:rPr>
                <w:sz w:val="20"/>
                <w:szCs w:val="20"/>
              </w:rPr>
              <w:t>0266</w:t>
            </w:r>
          </w:p>
          <w:p w14:paraId="3FFB0410" w14:textId="77777777" w:rsidR="00836B93" w:rsidRDefault="00836B93" w:rsidP="00EC2C94">
            <w:pPr>
              <w:rPr>
                <w:b/>
                <w:sz w:val="20"/>
                <w:szCs w:val="20"/>
              </w:rPr>
            </w:pPr>
          </w:p>
        </w:tc>
        <w:tc>
          <w:tcPr>
            <w:tcW w:w="592" w:type="pct"/>
            <w:shd w:val="clear" w:color="auto" w:fill="auto"/>
          </w:tcPr>
          <w:p w14:paraId="1BD7BF7E" w14:textId="184E5C9E" w:rsidR="00836B93" w:rsidRDefault="00836B93" w:rsidP="00EC2C94">
            <w:pPr>
              <w:rPr>
                <w:sz w:val="20"/>
                <w:szCs w:val="20"/>
              </w:rPr>
            </w:pPr>
            <w:r>
              <w:rPr>
                <w:sz w:val="20"/>
                <w:szCs w:val="20"/>
              </w:rPr>
              <w:t>Primary Contact:</w:t>
            </w:r>
          </w:p>
          <w:p w14:paraId="1143E35B" w14:textId="6A8CD415" w:rsidR="00946DFB" w:rsidRDefault="00946DFB" w:rsidP="00EC2C94">
            <w:pPr>
              <w:rPr>
                <w:sz w:val="20"/>
                <w:szCs w:val="20"/>
              </w:rPr>
            </w:pPr>
            <w:r>
              <w:rPr>
                <w:sz w:val="20"/>
                <w:szCs w:val="20"/>
              </w:rPr>
              <w:t>Stephanie McLaughlin</w:t>
            </w:r>
          </w:p>
          <w:p w14:paraId="3EDA0AE8" w14:textId="77777777" w:rsidR="00836B93" w:rsidRDefault="00836B93" w:rsidP="00EC2C94">
            <w:pPr>
              <w:rPr>
                <w:sz w:val="20"/>
                <w:szCs w:val="20"/>
              </w:rPr>
            </w:pPr>
          </w:p>
          <w:p w14:paraId="2C5B1757" w14:textId="434DD569" w:rsidR="00836B93" w:rsidRPr="00EB1528" w:rsidRDefault="00EB1528" w:rsidP="00EC2C94">
            <w:pPr>
              <w:rPr>
                <w:bCs/>
                <w:sz w:val="20"/>
                <w:szCs w:val="20"/>
              </w:rPr>
            </w:pPr>
            <w:r w:rsidRPr="00EB1528">
              <w:rPr>
                <w:bCs/>
                <w:sz w:val="20"/>
                <w:szCs w:val="20"/>
              </w:rPr>
              <w:t>412-624-0266</w:t>
            </w:r>
          </w:p>
          <w:p w14:paraId="3D9B35D4" w14:textId="77777777" w:rsidR="00836B93" w:rsidRPr="00895681" w:rsidRDefault="00836B93" w:rsidP="00EC2C94">
            <w:pPr>
              <w:rPr>
                <w:b/>
                <w:sz w:val="20"/>
                <w:szCs w:val="20"/>
              </w:rPr>
            </w:pPr>
          </w:p>
        </w:tc>
        <w:tc>
          <w:tcPr>
            <w:tcW w:w="649" w:type="pct"/>
            <w:tcBorders>
              <w:right w:val="single" w:sz="4" w:space="0" w:color="auto"/>
            </w:tcBorders>
            <w:shd w:val="clear" w:color="auto" w:fill="auto"/>
          </w:tcPr>
          <w:p w14:paraId="066CDBF6" w14:textId="0CCE158B" w:rsidR="00836B93" w:rsidRDefault="00836B93" w:rsidP="00EC2C94">
            <w:pPr>
              <w:rPr>
                <w:sz w:val="20"/>
                <w:szCs w:val="20"/>
              </w:rPr>
            </w:pPr>
            <w:r>
              <w:rPr>
                <w:sz w:val="20"/>
                <w:szCs w:val="20"/>
              </w:rPr>
              <w:t>Primary Contact:</w:t>
            </w:r>
          </w:p>
          <w:p w14:paraId="591D2094" w14:textId="398E0479" w:rsidR="00946DFB" w:rsidRDefault="00946DFB" w:rsidP="00EC2C94">
            <w:pPr>
              <w:rPr>
                <w:sz w:val="20"/>
                <w:szCs w:val="20"/>
              </w:rPr>
            </w:pPr>
            <w:r>
              <w:rPr>
                <w:sz w:val="20"/>
                <w:szCs w:val="20"/>
              </w:rPr>
              <w:t>Stephanie McLaughlin</w:t>
            </w:r>
          </w:p>
          <w:p w14:paraId="27AC7C83" w14:textId="1B64B6A5" w:rsidR="00836B93" w:rsidRPr="009A5B3F" w:rsidRDefault="00836B93" w:rsidP="00EC2C94">
            <w:pPr>
              <w:rPr>
                <w:b/>
                <w:sz w:val="20"/>
                <w:szCs w:val="20"/>
              </w:rPr>
            </w:pPr>
          </w:p>
          <w:p w14:paraId="457C6E4E" w14:textId="55F9D31A" w:rsidR="00836B93" w:rsidRDefault="00836B93" w:rsidP="00EC2C94">
            <w:pPr>
              <w:rPr>
                <w:sz w:val="20"/>
                <w:szCs w:val="20"/>
              </w:rPr>
            </w:pPr>
            <w:r>
              <w:rPr>
                <w:sz w:val="20"/>
                <w:szCs w:val="20"/>
              </w:rPr>
              <w:t>412-624-0266</w:t>
            </w:r>
          </w:p>
          <w:p w14:paraId="51A06F9D" w14:textId="77777777" w:rsidR="00836B93" w:rsidRPr="00895681" w:rsidRDefault="00836B93" w:rsidP="00EC2C94">
            <w:pPr>
              <w:rPr>
                <w:b/>
                <w:sz w:val="20"/>
                <w:szCs w:val="20"/>
              </w:rPr>
            </w:pPr>
          </w:p>
        </w:tc>
        <w:tc>
          <w:tcPr>
            <w:tcW w:w="673" w:type="pct"/>
            <w:tcBorders>
              <w:right w:val="single" w:sz="4" w:space="0" w:color="auto"/>
            </w:tcBorders>
          </w:tcPr>
          <w:p w14:paraId="513258EB" w14:textId="77777777" w:rsidR="00836B93" w:rsidRDefault="00A331DD" w:rsidP="00EC2C94">
            <w:pPr>
              <w:rPr>
                <w:sz w:val="20"/>
                <w:szCs w:val="20"/>
              </w:rPr>
            </w:pPr>
            <w:r>
              <w:rPr>
                <w:sz w:val="20"/>
                <w:szCs w:val="20"/>
              </w:rPr>
              <w:t>Primary Contact:</w:t>
            </w:r>
          </w:p>
          <w:p w14:paraId="35674210" w14:textId="312BB15F" w:rsidR="00A331DD" w:rsidRDefault="00A331DD" w:rsidP="00EC2C94">
            <w:pPr>
              <w:rPr>
                <w:sz w:val="20"/>
                <w:szCs w:val="20"/>
              </w:rPr>
            </w:pPr>
          </w:p>
          <w:p w14:paraId="74404E5E" w14:textId="621C2180" w:rsidR="00E831A2" w:rsidRPr="00E831A2" w:rsidRDefault="00E831A2" w:rsidP="00EC2C94">
            <w:pPr>
              <w:rPr>
                <w:sz w:val="20"/>
                <w:szCs w:val="20"/>
              </w:rPr>
            </w:pPr>
            <w:r w:rsidRPr="00E831A2">
              <w:rPr>
                <w:sz w:val="20"/>
                <w:szCs w:val="20"/>
              </w:rPr>
              <w:t>412-624-8635</w:t>
            </w:r>
          </w:p>
          <w:p w14:paraId="0BA800B4" w14:textId="7F32ED8B" w:rsidR="00A331DD" w:rsidRDefault="00946DFB" w:rsidP="00EC2C94">
            <w:pPr>
              <w:rPr>
                <w:sz w:val="20"/>
                <w:szCs w:val="20"/>
              </w:rPr>
            </w:pPr>
            <w:hyperlink r:id="rId9" w:history="1">
              <w:r w:rsidR="00E831A2" w:rsidRPr="00F1315B">
                <w:rPr>
                  <w:rStyle w:val="Hyperlink"/>
                  <w:sz w:val="20"/>
                  <w:szCs w:val="20"/>
                </w:rPr>
                <w:t>tara.meyer@pitt.edu</w:t>
              </w:r>
            </w:hyperlink>
            <w:r w:rsidR="00A331DD">
              <w:rPr>
                <w:sz w:val="20"/>
                <w:szCs w:val="20"/>
              </w:rPr>
              <w:t xml:space="preserve">  </w:t>
            </w:r>
          </w:p>
        </w:tc>
      </w:tr>
    </w:tbl>
    <w:p w14:paraId="52F1559B" w14:textId="7CE37A38" w:rsidR="001F76FF" w:rsidRPr="001F76FF" w:rsidRDefault="006545E4" w:rsidP="001F76FF">
      <w:pPr>
        <w:contextualSpacing/>
        <w:jc w:val="center"/>
        <w:rPr>
          <w:sz w:val="20"/>
          <w:szCs w:val="20"/>
        </w:rPr>
      </w:pPr>
      <w:r w:rsidRPr="001F76FF">
        <w:br w:type="page"/>
      </w:r>
    </w:p>
    <w:p w14:paraId="45D7BDAF" w14:textId="0F6E008A" w:rsidR="006545E4" w:rsidRDefault="006545E4"/>
    <w:tbl>
      <w:tblPr>
        <w:tblStyle w:val="TableGrid"/>
        <w:tblW w:w="4922" w:type="pct"/>
        <w:tblInd w:w="85" w:type="dxa"/>
        <w:tblLook w:val="04A0" w:firstRow="1" w:lastRow="0" w:firstColumn="1" w:lastColumn="0" w:noHBand="0" w:noVBand="1"/>
      </w:tblPr>
      <w:tblGrid>
        <w:gridCol w:w="4771"/>
        <w:gridCol w:w="4859"/>
        <w:gridCol w:w="4536"/>
      </w:tblGrid>
      <w:tr w:rsidR="00160A9E" w:rsidRPr="00895681" w14:paraId="6301D7B7" w14:textId="77777777" w:rsidTr="009067BB">
        <w:tc>
          <w:tcPr>
            <w:tcW w:w="5000" w:type="pct"/>
            <w:gridSpan w:val="3"/>
            <w:tcBorders>
              <w:right w:val="single" w:sz="4" w:space="0" w:color="auto"/>
            </w:tcBorders>
          </w:tcPr>
          <w:p w14:paraId="0094AEC8" w14:textId="77777777" w:rsidR="00160A9E" w:rsidRPr="00895681" w:rsidRDefault="00992B86" w:rsidP="009A0EE2">
            <w:pPr>
              <w:jc w:val="center"/>
              <w:rPr>
                <w:sz w:val="20"/>
                <w:szCs w:val="20"/>
              </w:rPr>
            </w:pPr>
            <w:r>
              <w:rPr>
                <w:sz w:val="20"/>
                <w:szCs w:val="20"/>
              </w:rPr>
              <w:t xml:space="preserve">PRIMARY </w:t>
            </w:r>
            <w:r w:rsidR="00024C2E">
              <w:rPr>
                <w:sz w:val="20"/>
                <w:szCs w:val="20"/>
              </w:rPr>
              <w:t xml:space="preserve">SENIOR </w:t>
            </w:r>
            <w:r>
              <w:rPr>
                <w:sz w:val="20"/>
                <w:szCs w:val="20"/>
              </w:rPr>
              <w:t xml:space="preserve">STAFF </w:t>
            </w:r>
            <w:r w:rsidR="00024C2E">
              <w:rPr>
                <w:sz w:val="20"/>
                <w:szCs w:val="20"/>
              </w:rPr>
              <w:t>LIAISON</w:t>
            </w:r>
            <w:r>
              <w:rPr>
                <w:sz w:val="20"/>
                <w:szCs w:val="20"/>
              </w:rPr>
              <w:t xml:space="preserve"> FOR DEPARTMENTS</w:t>
            </w:r>
            <w:r w:rsidR="00CE75E9">
              <w:rPr>
                <w:sz w:val="20"/>
                <w:szCs w:val="20"/>
              </w:rPr>
              <w:t xml:space="preserve"> </w:t>
            </w:r>
            <w:r>
              <w:rPr>
                <w:sz w:val="20"/>
                <w:szCs w:val="20"/>
              </w:rPr>
              <w:t>AND PROGRAMS</w:t>
            </w:r>
          </w:p>
        </w:tc>
      </w:tr>
      <w:tr w:rsidR="006545E4" w:rsidRPr="00895681" w14:paraId="0AD9F397" w14:textId="77777777" w:rsidTr="009067BB">
        <w:tc>
          <w:tcPr>
            <w:tcW w:w="1684" w:type="pct"/>
            <w:tcBorders>
              <w:bottom w:val="single" w:sz="4" w:space="0" w:color="auto"/>
              <w:right w:val="double" w:sz="4" w:space="0" w:color="auto"/>
            </w:tcBorders>
          </w:tcPr>
          <w:p w14:paraId="58BD7600" w14:textId="77777777" w:rsidR="00160A9E" w:rsidRPr="00895681" w:rsidRDefault="00160A9E" w:rsidP="009A0EE2">
            <w:pPr>
              <w:jc w:val="center"/>
              <w:rPr>
                <w:b/>
                <w:sz w:val="20"/>
                <w:szCs w:val="20"/>
              </w:rPr>
            </w:pPr>
            <w:r w:rsidRPr="00895681">
              <w:rPr>
                <w:b/>
                <w:sz w:val="20"/>
                <w:szCs w:val="20"/>
              </w:rPr>
              <w:t>Humanities</w:t>
            </w:r>
          </w:p>
        </w:tc>
        <w:tc>
          <w:tcPr>
            <w:tcW w:w="1715" w:type="pct"/>
            <w:tcBorders>
              <w:left w:val="double" w:sz="4" w:space="0" w:color="auto"/>
              <w:right w:val="double" w:sz="4" w:space="0" w:color="auto"/>
            </w:tcBorders>
          </w:tcPr>
          <w:p w14:paraId="7764C03A" w14:textId="77777777" w:rsidR="00160A9E" w:rsidRPr="00895681" w:rsidRDefault="00160A9E" w:rsidP="009A0EE2">
            <w:pPr>
              <w:jc w:val="center"/>
              <w:rPr>
                <w:b/>
                <w:sz w:val="20"/>
                <w:szCs w:val="20"/>
              </w:rPr>
            </w:pPr>
            <w:r w:rsidRPr="00895681">
              <w:rPr>
                <w:b/>
                <w:sz w:val="20"/>
                <w:szCs w:val="20"/>
              </w:rPr>
              <w:t>Natural Sciences</w:t>
            </w:r>
          </w:p>
        </w:tc>
        <w:tc>
          <w:tcPr>
            <w:tcW w:w="1601" w:type="pct"/>
            <w:tcBorders>
              <w:left w:val="double" w:sz="4" w:space="0" w:color="auto"/>
              <w:bottom w:val="single" w:sz="4" w:space="0" w:color="auto"/>
              <w:right w:val="double" w:sz="4" w:space="0" w:color="auto"/>
            </w:tcBorders>
          </w:tcPr>
          <w:p w14:paraId="6F2F764A" w14:textId="77777777" w:rsidR="00160A9E" w:rsidRPr="00895681" w:rsidRDefault="00160A9E" w:rsidP="009A0EE2">
            <w:pPr>
              <w:jc w:val="center"/>
              <w:rPr>
                <w:b/>
                <w:sz w:val="20"/>
                <w:szCs w:val="20"/>
              </w:rPr>
            </w:pPr>
            <w:r w:rsidRPr="00895681">
              <w:rPr>
                <w:b/>
                <w:sz w:val="20"/>
                <w:szCs w:val="20"/>
              </w:rPr>
              <w:t>Social Sciences</w:t>
            </w:r>
          </w:p>
        </w:tc>
      </w:tr>
      <w:tr w:rsidR="006545E4" w:rsidRPr="00895681" w14:paraId="401B47E0" w14:textId="77777777" w:rsidTr="009067BB">
        <w:tc>
          <w:tcPr>
            <w:tcW w:w="1684" w:type="pct"/>
            <w:tcBorders>
              <w:bottom w:val="single" w:sz="4" w:space="0" w:color="auto"/>
              <w:right w:val="double" w:sz="4" w:space="0" w:color="auto"/>
            </w:tcBorders>
          </w:tcPr>
          <w:p w14:paraId="6662A153" w14:textId="5AF82B4E" w:rsidR="00160A9E" w:rsidRDefault="00160A9E" w:rsidP="009A0EE2">
            <w:pPr>
              <w:jc w:val="center"/>
              <w:rPr>
                <w:b/>
                <w:sz w:val="20"/>
                <w:szCs w:val="20"/>
              </w:rPr>
            </w:pPr>
            <w:r>
              <w:rPr>
                <w:sz w:val="20"/>
                <w:szCs w:val="20"/>
              </w:rPr>
              <w:t>Division Staff Admin</w:t>
            </w:r>
            <w:r w:rsidR="003D462C">
              <w:rPr>
                <w:sz w:val="20"/>
                <w:szCs w:val="20"/>
              </w:rPr>
              <w:t>istrator</w:t>
            </w:r>
            <w:r>
              <w:rPr>
                <w:sz w:val="20"/>
                <w:szCs w:val="20"/>
              </w:rPr>
              <w:t xml:space="preserve">: </w:t>
            </w:r>
            <w:r w:rsidRPr="00BF0373">
              <w:rPr>
                <w:b/>
                <w:sz w:val="20"/>
                <w:szCs w:val="20"/>
              </w:rPr>
              <w:t>J</w:t>
            </w:r>
            <w:r w:rsidR="00A2699A">
              <w:rPr>
                <w:b/>
                <w:sz w:val="20"/>
                <w:szCs w:val="20"/>
              </w:rPr>
              <w:t>ames Griffin</w:t>
            </w:r>
          </w:p>
          <w:p w14:paraId="70D3D334" w14:textId="7CF553D8" w:rsidR="006545E4" w:rsidRPr="00A2699A" w:rsidRDefault="00946DFB" w:rsidP="009A0EE2">
            <w:pPr>
              <w:jc w:val="center"/>
              <w:rPr>
                <w:bCs/>
                <w:sz w:val="20"/>
                <w:szCs w:val="20"/>
              </w:rPr>
            </w:pPr>
            <w:hyperlink r:id="rId10" w:history="1">
              <w:r w:rsidR="00A2699A" w:rsidRPr="00A2699A">
                <w:rPr>
                  <w:rStyle w:val="Hyperlink"/>
                  <w:bCs/>
                  <w:sz w:val="20"/>
                  <w:szCs w:val="20"/>
                </w:rPr>
                <w:t>j.griff@pitt.edu</w:t>
              </w:r>
            </w:hyperlink>
            <w:r w:rsidR="00A2699A" w:rsidRPr="00A2699A">
              <w:rPr>
                <w:bCs/>
                <w:sz w:val="20"/>
                <w:szCs w:val="20"/>
              </w:rPr>
              <w:t xml:space="preserve"> </w:t>
            </w:r>
          </w:p>
          <w:p w14:paraId="095A5ADE" w14:textId="77777777" w:rsidR="006545E4" w:rsidRPr="00895681" w:rsidRDefault="009A5B3F" w:rsidP="009A0EE2">
            <w:pPr>
              <w:jc w:val="center"/>
              <w:rPr>
                <w:sz w:val="20"/>
                <w:szCs w:val="20"/>
              </w:rPr>
            </w:pPr>
            <w:r>
              <w:rPr>
                <w:sz w:val="20"/>
                <w:szCs w:val="20"/>
              </w:rPr>
              <w:t>412-383-4149</w:t>
            </w:r>
            <w:r w:rsidR="006545E4">
              <w:rPr>
                <w:b/>
                <w:sz w:val="20"/>
                <w:szCs w:val="20"/>
              </w:rPr>
              <w:t xml:space="preserve"> </w:t>
            </w:r>
          </w:p>
        </w:tc>
        <w:tc>
          <w:tcPr>
            <w:tcW w:w="1715" w:type="pct"/>
            <w:tcBorders>
              <w:left w:val="double" w:sz="4" w:space="0" w:color="auto"/>
              <w:right w:val="double" w:sz="4" w:space="0" w:color="auto"/>
            </w:tcBorders>
          </w:tcPr>
          <w:p w14:paraId="6A5CBC8E" w14:textId="79F479DD" w:rsidR="00160A9E" w:rsidRDefault="00160A9E" w:rsidP="009A0EE2">
            <w:pPr>
              <w:jc w:val="center"/>
              <w:rPr>
                <w:b/>
                <w:sz w:val="20"/>
                <w:szCs w:val="20"/>
              </w:rPr>
            </w:pPr>
            <w:r>
              <w:rPr>
                <w:sz w:val="20"/>
                <w:szCs w:val="20"/>
              </w:rPr>
              <w:t xml:space="preserve">Division Staff Administrator: </w:t>
            </w:r>
            <w:r w:rsidR="00371CE6" w:rsidRPr="00371CE6">
              <w:rPr>
                <w:b/>
                <w:bCs/>
                <w:sz w:val="20"/>
                <w:szCs w:val="20"/>
              </w:rPr>
              <w:t>Linda Howard</w:t>
            </w:r>
          </w:p>
          <w:p w14:paraId="3C039A60" w14:textId="77777777" w:rsidR="00371CE6" w:rsidRDefault="00946DFB" w:rsidP="00371CE6">
            <w:pPr>
              <w:jc w:val="center"/>
              <w:rPr>
                <w:sz w:val="20"/>
                <w:szCs w:val="20"/>
              </w:rPr>
            </w:pPr>
            <w:hyperlink r:id="rId11" w:history="1">
              <w:r w:rsidR="00371CE6" w:rsidRPr="00072659">
                <w:rPr>
                  <w:rStyle w:val="Hyperlink"/>
                  <w:sz w:val="20"/>
                  <w:szCs w:val="20"/>
                </w:rPr>
                <w:t>hlinda@pitt.edu</w:t>
              </w:r>
            </w:hyperlink>
            <w:r w:rsidR="00371CE6">
              <w:rPr>
                <w:sz w:val="20"/>
                <w:szCs w:val="20"/>
              </w:rPr>
              <w:t xml:space="preserve"> </w:t>
            </w:r>
          </w:p>
          <w:p w14:paraId="47B9811A" w14:textId="7146396D" w:rsidR="009A5B3F" w:rsidRPr="009A5B3F" w:rsidRDefault="00371CE6" w:rsidP="00371CE6">
            <w:pPr>
              <w:jc w:val="center"/>
              <w:rPr>
                <w:sz w:val="20"/>
                <w:szCs w:val="20"/>
              </w:rPr>
            </w:pPr>
            <w:r>
              <w:rPr>
                <w:sz w:val="20"/>
                <w:szCs w:val="20"/>
              </w:rPr>
              <w:t>412-383-0755</w:t>
            </w:r>
          </w:p>
        </w:tc>
        <w:tc>
          <w:tcPr>
            <w:tcW w:w="1601" w:type="pct"/>
            <w:tcBorders>
              <w:left w:val="double" w:sz="4" w:space="0" w:color="auto"/>
              <w:bottom w:val="single" w:sz="4" w:space="0" w:color="auto"/>
              <w:right w:val="double" w:sz="4" w:space="0" w:color="auto"/>
            </w:tcBorders>
          </w:tcPr>
          <w:p w14:paraId="329AA01C" w14:textId="77777777" w:rsidR="00160A9E" w:rsidRDefault="00160A9E" w:rsidP="009A0EE2">
            <w:pPr>
              <w:jc w:val="center"/>
              <w:rPr>
                <w:b/>
                <w:sz w:val="20"/>
                <w:szCs w:val="20"/>
              </w:rPr>
            </w:pPr>
            <w:r>
              <w:rPr>
                <w:sz w:val="20"/>
                <w:szCs w:val="20"/>
              </w:rPr>
              <w:t xml:space="preserve">Division Staff Administrator: </w:t>
            </w:r>
            <w:r w:rsidRPr="00BF0373">
              <w:rPr>
                <w:b/>
                <w:sz w:val="20"/>
                <w:szCs w:val="20"/>
              </w:rPr>
              <w:t>Linda Howard</w:t>
            </w:r>
          </w:p>
          <w:p w14:paraId="70FD1E99" w14:textId="415911DE" w:rsidR="009A5B3F" w:rsidRDefault="00946DFB" w:rsidP="009A0EE2">
            <w:pPr>
              <w:jc w:val="center"/>
              <w:rPr>
                <w:sz w:val="20"/>
                <w:szCs w:val="20"/>
              </w:rPr>
            </w:pPr>
            <w:hyperlink r:id="rId12" w:history="1">
              <w:r w:rsidR="00A2699A" w:rsidRPr="00072659">
                <w:rPr>
                  <w:rStyle w:val="Hyperlink"/>
                  <w:sz w:val="20"/>
                  <w:szCs w:val="20"/>
                </w:rPr>
                <w:t>hlinda@pitt.edu</w:t>
              </w:r>
            </w:hyperlink>
            <w:r w:rsidR="00A2699A">
              <w:rPr>
                <w:sz w:val="20"/>
                <w:szCs w:val="20"/>
              </w:rPr>
              <w:t xml:space="preserve"> </w:t>
            </w:r>
          </w:p>
          <w:p w14:paraId="398BB7E9" w14:textId="77777777" w:rsidR="009A5B3F" w:rsidRPr="009A5B3F" w:rsidRDefault="009A5B3F" w:rsidP="009A0EE2">
            <w:pPr>
              <w:jc w:val="center"/>
              <w:rPr>
                <w:sz w:val="20"/>
                <w:szCs w:val="20"/>
              </w:rPr>
            </w:pPr>
            <w:r>
              <w:rPr>
                <w:sz w:val="20"/>
                <w:szCs w:val="20"/>
              </w:rPr>
              <w:t>412-383</w:t>
            </w:r>
            <w:r w:rsidR="00992B86">
              <w:rPr>
                <w:sz w:val="20"/>
                <w:szCs w:val="20"/>
              </w:rPr>
              <w:t>-0755</w:t>
            </w:r>
          </w:p>
        </w:tc>
      </w:tr>
      <w:tr w:rsidR="006545E4" w:rsidRPr="00895681" w14:paraId="00E6EC77" w14:textId="77777777" w:rsidTr="009067BB">
        <w:trPr>
          <w:trHeight w:val="4013"/>
        </w:trPr>
        <w:tc>
          <w:tcPr>
            <w:tcW w:w="1684" w:type="pct"/>
            <w:tcBorders>
              <w:right w:val="double" w:sz="4" w:space="0" w:color="auto"/>
            </w:tcBorders>
          </w:tcPr>
          <w:p w14:paraId="71A13B3B" w14:textId="77777777" w:rsidR="00024C2E" w:rsidRDefault="00024C2E" w:rsidP="009A0EE2">
            <w:pPr>
              <w:rPr>
                <w:sz w:val="20"/>
                <w:szCs w:val="20"/>
              </w:rPr>
            </w:pPr>
            <w:r>
              <w:rPr>
                <w:sz w:val="20"/>
                <w:szCs w:val="20"/>
              </w:rPr>
              <w:t>Architectural Studies</w:t>
            </w:r>
          </w:p>
          <w:p w14:paraId="516A44FD" w14:textId="77777777" w:rsidR="00024C2E" w:rsidRDefault="00024C2E" w:rsidP="009A0EE2">
            <w:pPr>
              <w:rPr>
                <w:sz w:val="20"/>
                <w:szCs w:val="20"/>
              </w:rPr>
            </w:pPr>
            <w:r>
              <w:rPr>
                <w:sz w:val="20"/>
                <w:szCs w:val="20"/>
              </w:rPr>
              <w:t>Children’s Literature</w:t>
            </w:r>
          </w:p>
          <w:p w14:paraId="74E56FCE" w14:textId="77777777" w:rsidR="00160A9E" w:rsidRDefault="00160A9E" w:rsidP="009A0EE2">
            <w:pPr>
              <w:rPr>
                <w:sz w:val="20"/>
                <w:szCs w:val="20"/>
              </w:rPr>
            </w:pPr>
            <w:r w:rsidRPr="00895681">
              <w:rPr>
                <w:sz w:val="20"/>
                <w:szCs w:val="20"/>
              </w:rPr>
              <w:t>Classics</w:t>
            </w:r>
          </w:p>
          <w:p w14:paraId="20FF2022" w14:textId="77777777" w:rsidR="00024C2E" w:rsidRPr="00895681" w:rsidRDefault="00024C2E" w:rsidP="009A0EE2">
            <w:pPr>
              <w:rPr>
                <w:sz w:val="20"/>
                <w:szCs w:val="20"/>
              </w:rPr>
            </w:pPr>
            <w:r>
              <w:rPr>
                <w:sz w:val="20"/>
                <w:szCs w:val="20"/>
              </w:rPr>
              <w:t xml:space="preserve">Classics, Philosophy, and Ancient </w:t>
            </w:r>
          </w:p>
          <w:p w14:paraId="76807A36" w14:textId="77777777" w:rsidR="00160A9E" w:rsidRDefault="00160A9E" w:rsidP="009A0EE2">
            <w:pPr>
              <w:rPr>
                <w:sz w:val="20"/>
                <w:szCs w:val="20"/>
              </w:rPr>
            </w:pPr>
            <w:r w:rsidRPr="00895681">
              <w:rPr>
                <w:sz w:val="20"/>
                <w:szCs w:val="20"/>
              </w:rPr>
              <w:t>Communication</w:t>
            </w:r>
          </w:p>
          <w:p w14:paraId="39DD5CDC" w14:textId="77777777" w:rsidR="00024C2E" w:rsidRPr="00895681" w:rsidRDefault="00024C2E" w:rsidP="009A0EE2">
            <w:pPr>
              <w:rPr>
                <w:sz w:val="20"/>
                <w:szCs w:val="20"/>
              </w:rPr>
            </w:pPr>
            <w:r>
              <w:rPr>
                <w:sz w:val="20"/>
                <w:szCs w:val="20"/>
              </w:rPr>
              <w:t>Cultural Studies</w:t>
            </w:r>
          </w:p>
          <w:p w14:paraId="7C40257B" w14:textId="77777777" w:rsidR="00160A9E" w:rsidRPr="00895681" w:rsidRDefault="00160A9E" w:rsidP="009A0EE2">
            <w:pPr>
              <w:rPr>
                <w:sz w:val="20"/>
                <w:szCs w:val="20"/>
              </w:rPr>
            </w:pPr>
            <w:r w:rsidRPr="00895681">
              <w:rPr>
                <w:sz w:val="20"/>
                <w:szCs w:val="20"/>
              </w:rPr>
              <w:t>East Asian Languages &amp; Literatures</w:t>
            </w:r>
          </w:p>
          <w:p w14:paraId="43EADD6A" w14:textId="77777777" w:rsidR="00160A9E" w:rsidRDefault="00160A9E" w:rsidP="009A0EE2">
            <w:pPr>
              <w:rPr>
                <w:sz w:val="20"/>
                <w:szCs w:val="20"/>
              </w:rPr>
            </w:pPr>
            <w:r w:rsidRPr="00895681">
              <w:rPr>
                <w:sz w:val="20"/>
                <w:szCs w:val="20"/>
              </w:rPr>
              <w:t>English</w:t>
            </w:r>
          </w:p>
          <w:p w14:paraId="243CFD8E" w14:textId="77777777" w:rsidR="00024C2E" w:rsidRPr="00895681" w:rsidRDefault="00024C2E" w:rsidP="009A0EE2">
            <w:pPr>
              <w:rPr>
                <w:sz w:val="20"/>
                <w:szCs w:val="20"/>
              </w:rPr>
            </w:pPr>
            <w:r>
              <w:rPr>
                <w:sz w:val="20"/>
                <w:szCs w:val="20"/>
              </w:rPr>
              <w:t>Film Studies</w:t>
            </w:r>
          </w:p>
          <w:p w14:paraId="52D80674" w14:textId="77777777" w:rsidR="006545E4" w:rsidRPr="00895681" w:rsidRDefault="006545E4" w:rsidP="006545E4">
            <w:pPr>
              <w:rPr>
                <w:sz w:val="20"/>
                <w:szCs w:val="20"/>
              </w:rPr>
            </w:pPr>
            <w:r w:rsidRPr="00895681">
              <w:rPr>
                <w:sz w:val="20"/>
                <w:szCs w:val="20"/>
              </w:rPr>
              <w:t>French &amp; Italian Languages &amp; Literatures</w:t>
            </w:r>
          </w:p>
          <w:p w14:paraId="447C7020" w14:textId="77777777" w:rsidR="00024C2E" w:rsidRDefault="00024C2E" w:rsidP="006545E4">
            <w:pPr>
              <w:rPr>
                <w:sz w:val="20"/>
                <w:szCs w:val="20"/>
              </w:rPr>
            </w:pPr>
            <w:r>
              <w:rPr>
                <w:sz w:val="20"/>
                <w:szCs w:val="20"/>
              </w:rPr>
              <w:t>Gender, Sexuality and Women’s Studies</w:t>
            </w:r>
          </w:p>
          <w:p w14:paraId="74E6493F" w14:textId="77777777" w:rsidR="006545E4" w:rsidRPr="00895681" w:rsidRDefault="006545E4" w:rsidP="006545E4">
            <w:pPr>
              <w:rPr>
                <w:sz w:val="20"/>
                <w:szCs w:val="20"/>
              </w:rPr>
            </w:pPr>
            <w:r w:rsidRPr="00895681">
              <w:rPr>
                <w:sz w:val="20"/>
                <w:szCs w:val="20"/>
              </w:rPr>
              <w:t>German Languages &amp; Literatures</w:t>
            </w:r>
          </w:p>
          <w:p w14:paraId="4194FCFC" w14:textId="77777777" w:rsidR="006545E4" w:rsidRPr="00895681" w:rsidRDefault="006545E4" w:rsidP="006545E4">
            <w:pPr>
              <w:rPr>
                <w:sz w:val="20"/>
                <w:szCs w:val="20"/>
              </w:rPr>
            </w:pPr>
            <w:r w:rsidRPr="00895681">
              <w:rPr>
                <w:sz w:val="20"/>
                <w:szCs w:val="20"/>
              </w:rPr>
              <w:t>Hispanic Languages &amp; Literatures</w:t>
            </w:r>
          </w:p>
          <w:p w14:paraId="0BBA1635" w14:textId="77777777" w:rsidR="00160A9E" w:rsidRPr="00895681" w:rsidRDefault="00160A9E" w:rsidP="009A0EE2">
            <w:pPr>
              <w:rPr>
                <w:sz w:val="20"/>
                <w:szCs w:val="20"/>
              </w:rPr>
            </w:pPr>
            <w:r w:rsidRPr="00895681">
              <w:rPr>
                <w:sz w:val="20"/>
                <w:szCs w:val="20"/>
              </w:rPr>
              <w:t>History &amp; Philosophy of Science</w:t>
            </w:r>
          </w:p>
          <w:p w14:paraId="7CF2ADBE" w14:textId="77777777" w:rsidR="006545E4" w:rsidRDefault="006545E4" w:rsidP="006545E4">
            <w:pPr>
              <w:rPr>
                <w:sz w:val="20"/>
                <w:szCs w:val="20"/>
              </w:rPr>
            </w:pPr>
            <w:r w:rsidRPr="00895681">
              <w:rPr>
                <w:sz w:val="20"/>
                <w:szCs w:val="20"/>
              </w:rPr>
              <w:t>History of Art &amp; Architecture</w:t>
            </w:r>
          </w:p>
          <w:p w14:paraId="05003E99" w14:textId="77777777" w:rsidR="00024C2E" w:rsidRPr="00895681" w:rsidRDefault="00024C2E" w:rsidP="006545E4">
            <w:pPr>
              <w:rPr>
                <w:sz w:val="20"/>
                <w:szCs w:val="20"/>
              </w:rPr>
            </w:pPr>
            <w:r>
              <w:rPr>
                <w:sz w:val="20"/>
                <w:szCs w:val="20"/>
              </w:rPr>
              <w:t>Jewish Studies</w:t>
            </w:r>
          </w:p>
          <w:p w14:paraId="756E2EB3" w14:textId="77777777" w:rsidR="00160A9E" w:rsidRPr="00895681" w:rsidRDefault="00160A9E" w:rsidP="009A0EE2">
            <w:pPr>
              <w:rPr>
                <w:sz w:val="20"/>
                <w:szCs w:val="20"/>
              </w:rPr>
            </w:pPr>
            <w:r w:rsidRPr="00895681">
              <w:rPr>
                <w:sz w:val="20"/>
                <w:szCs w:val="20"/>
              </w:rPr>
              <w:t>Linguistics</w:t>
            </w:r>
          </w:p>
          <w:p w14:paraId="1F026EEF" w14:textId="77777777" w:rsidR="00024C2E" w:rsidRDefault="00024C2E" w:rsidP="009A0EE2">
            <w:pPr>
              <w:rPr>
                <w:sz w:val="20"/>
                <w:szCs w:val="20"/>
              </w:rPr>
            </w:pPr>
            <w:r>
              <w:rPr>
                <w:sz w:val="20"/>
                <w:szCs w:val="20"/>
              </w:rPr>
              <w:t>Medieval and Renaissance Studies</w:t>
            </w:r>
          </w:p>
          <w:p w14:paraId="3B667B80" w14:textId="77777777" w:rsidR="00160A9E" w:rsidRPr="00895681" w:rsidRDefault="00160A9E" w:rsidP="009A0EE2">
            <w:pPr>
              <w:rPr>
                <w:sz w:val="20"/>
                <w:szCs w:val="20"/>
              </w:rPr>
            </w:pPr>
            <w:r w:rsidRPr="00895681">
              <w:rPr>
                <w:sz w:val="20"/>
                <w:szCs w:val="20"/>
              </w:rPr>
              <w:t>Music</w:t>
            </w:r>
          </w:p>
          <w:p w14:paraId="659CAB93" w14:textId="77777777" w:rsidR="00160A9E" w:rsidRPr="00895681" w:rsidRDefault="00160A9E" w:rsidP="009A0EE2">
            <w:pPr>
              <w:rPr>
                <w:sz w:val="20"/>
                <w:szCs w:val="20"/>
              </w:rPr>
            </w:pPr>
            <w:r w:rsidRPr="00895681">
              <w:rPr>
                <w:sz w:val="20"/>
                <w:szCs w:val="20"/>
              </w:rPr>
              <w:t>Philosophy</w:t>
            </w:r>
          </w:p>
          <w:p w14:paraId="466F0A95" w14:textId="77777777" w:rsidR="00160A9E" w:rsidRPr="00895681" w:rsidRDefault="00160A9E" w:rsidP="009A0EE2">
            <w:pPr>
              <w:rPr>
                <w:sz w:val="20"/>
                <w:szCs w:val="20"/>
              </w:rPr>
            </w:pPr>
            <w:r w:rsidRPr="00895681">
              <w:rPr>
                <w:sz w:val="20"/>
                <w:szCs w:val="20"/>
              </w:rPr>
              <w:t>Religious Studies</w:t>
            </w:r>
          </w:p>
          <w:p w14:paraId="2CF5CA5A" w14:textId="77777777" w:rsidR="00160A9E" w:rsidRPr="00895681" w:rsidRDefault="00160A9E" w:rsidP="009A0EE2">
            <w:pPr>
              <w:rPr>
                <w:sz w:val="20"/>
                <w:szCs w:val="20"/>
              </w:rPr>
            </w:pPr>
            <w:r w:rsidRPr="00895681">
              <w:rPr>
                <w:sz w:val="20"/>
                <w:szCs w:val="20"/>
              </w:rPr>
              <w:t>Slavic Languages &amp; Literatures</w:t>
            </w:r>
          </w:p>
          <w:p w14:paraId="6C609876" w14:textId="77777777" w:rsidR="00160A9E" w:rsidRPr="00895681" w:rsidRDefault="00160A9E" w:rsidP="009A0EE2">
            <w:pPr>
              <w:rPr>
                <w:sz w:val="20"/>
                <w:szCs w:val="20"/>
              </w:rPr>
            </w:pPr>
            <w:r w:rsidRPr="00895681">
              <w:rPr>
                <w:sz w:val="20"/>
                <w:szCs w:val="20"/>
              </w:rPr>
              <w:t>Studio Arts</w:t>
            </w:r>
          </w:p>
          <w:p w14:paraId="50C5E8CB" w14:textId="77777777" w:rsidR="00160A9E" w:rsidRPr="00895681" w:rsidRDefault="00160A9E" w:rsidP="009A0EE2">
            <w:pPr>
              <w:rPr>
                <w:sz w:val="20"/>
                <w:szCs w:val="20"/>
              </w:rPr>
            </w:pPr>
            <w:r w:rsidRPr="00895681">
              <w:rPr>
                <w:sz w:val="20"/>
                <w:szCs w:val="20"/>
              </w:rPr>
              <w:t>Theatre Arts</w:t>
            </w:r>
          </w:p>
        </w:tc>
        <w:tc>
          <w:tcPr>
            <w:tcW w:w="1715" w:type="pct"/>
            <w:tcBorders>
              <w:left w:val="double" w:sz="4" w:space="0" w:color="auto"/>
              <w:right w:val="double" w:sz="4" w:space="0" w:color="auto"/>
            </w:tcBorders>
          </w:tcPr>
          <w:p w14:paraId="53808C63" w14:textId="77777777" w:rsidR="00024C2E" w:rsidRDefault="00024C2E" w:rsidP="009A0EE2">
            <w:pPr>
              <w:rPr>
                <w:sz w:val="20"/>
                <w:szCs w:val="20"/>
              </w:rPr>
            </w:pPr>
            <w:r>
              <w:rPr>
                <w:sz w:val="20"/>
                <w:szCs w:val="20"/>
              </w:rPr>
              <w:t>Bioethics</w:t>
            </w:r>
          </w:p>
          <w:p w14:paraId="0596873D" w14:textId="77777777" w:rsidR="00160A9E" w:rsidRPr="00895681" w:rsidRDefault="00160A9E" w:rsidP="009A0EE2">
            <w:pPr>
              <w:rPr>
                <w:sz w:val="20"/>
                <w:szCs w:val="20"/>
              </w:rPr>
            </w:pPr>
            <w:r w:rsidRPr="00895681">
              <w:rPr>
                <w:sz w:val="20"/>
                <w:szCs w:val="20"/>
              </w:rPr>
              <w:t>Biological Sciences</w:t>
            </w:r>
          </w:p>
          <w:p w14:paraId="7ACED765" w14:textId="77777777" w:rsidR="00160A9E" w:rsidRDefault="00160A9E" w:rsidP="009A0EE2">
            <w:pPr>
              <w:rPr>
                <w:sz w:val="20"/>
                <w:szCs w:val="20"/>
              </w:rPr>
            </w:pPr>
            <w:r w:rsidRPr="00895681">
              <w:rPr>
                <w:sz w:val="20"/>
                <w:szCs w:val="20"/>
              </w:rPr>
              <w:t>Chemistry</w:t>
            </w:r>
          </w:p>
          <w:p w14:paraId="6C2A2C48" w14:textId="77777777" w:rsidR="00024C2E" w:rsidRDefault="00024C2E" w:rsidP="009A0EE2">
            <w:pPr>
              <w:rPr>
                <w:sz w:val="20"/>
                <w:szCs w:val="20"/>
              </w:rPr>
            </w:pPr>
            <w:r>
              <w:rPr>
                <w:sz w:val="20"/>
                <w:szCs w:val="20"/>
              </w:rPr>
              <w:t>Computational Biology (joint program with CMU)</w:t>
            </w:r>
          </w:p>
          <w:p w14:paraId="5EE90271" w14:textId="77777777" w:rsidR="00160A9E" w:rsidRDefault="00160A9E" w:rsidP="009A0EE2">
            <w:pPr>
              <w:rPr>
                <w:sz w:val="20"/>
                <w:szCs w:val="20"/>
              </w:rPr>
            </w:pPr>
            <w:r w:rsidRPr="00895681">
              <w:rPr>
                <w:sz w:val="20"/>
                <w:szCs w:val="20"/>
              </w:rPr>
              <w:t>Geology &amp; Environmental Science</w:t>
            </w:r>
          </w:p>
          <w:p w14:paraId="2C0F994B" w14:textId="77777777" w:rsidR="00024C2E" w:rsidRPr="00895681" w:rsidRDefault="00024C2E" w:rsidP="009A0EE2">
            <w:pPr>
              <w:rPr>
                <w:sz w:val="20"/>
                <w:szCs w:val="20"/>
              </w:rPr>
            </w:pPr>
            <w:r>
              <w:rPr>
                <w:sz w:val="20"/>
                <w:szCs w:val="20"/>
              </w:rPr>
              <w:t>Integrative Molecular Biology</w:t>
            </w:r>
          </w:p>
          <w:p w14:paraId="6D78AFD4" w14:textId="77777777" w:rsidR="00160A9E" w:rsidRDefault="00160A9E" w:rsidP="009A0EE2">
            <w:pPr>
              <w:rPr>
                <w:sz w:val="20"/>
                <w:szCs w:val="20"/>
              </w:rPr>
            </w:pPr>
            <w:r w:rsidRPr="00895681">
              <w:rPr>
                <w:sz w:val="20"/>
                <w:szCs w:val="20"/>
              </w:rPr>
              <w:t xml:space="preserve">Mathematics </w:t>
            </w:r>
          </w:p>
          <w:p w14:paraId="49FE5333" w14:textId="77777777" w:rsidR="00024C2E" w:rsidRPr="00895681" w:rsidRDefault="00024C2E" w:rsidP="009A0EE2">
            <w:pPr>
              <w:rPr>
                <w:sz w:val="20"/>
                <w:szCs w:val="20"/>
              </w:rPr>
            </w:pPr>
            <w:r>
              <w:rPr>
                <w:sz w:val="20"/>
                <w:szCs w:val="20"/>
              </w:rPr>
              <w:t>Molecular Biophysics and Structural Biology (join program with CMU)</w:t>
            </w:r>
          </w:p>
          <w:p w14:paraId="3CCA96AE" w14:textId="77777777" w:rsidR="00160A9E" w:rsidRPr="00EB1528" w:rsidRDefault="00160A9E" w:rsidP="009A0EE2">
            <w:pPr>
              <w:rPr>
                <w:sz w:val="20"/>
                <w:szCs w:val="20"/>
                <w:lang w:val="fr-FR"/>
              </w:rPr>
            </w:pPr>
            <w:r w:rsidRPr="00EB1528">
              <w:rPr>
                <w:sz w:val="20"/>
                <w:szCs w:val="20"/>
                <w:lang w:val="fr-FR"/>
              </w:rPr>
              <w:t>Neuroscience</w:t>
            </w:r>
            <w:r w:rsidR="00024C2E" w:rsidRPr="00EB1528">
              <w:rPr>
                <w:sz w:val="20"/>
                <w:szCs w:val="20"/>
                <w:lang w:val="fr-FR"/>
              </w:rPr>
              <w:t xml:space="preserve"> (</w:t>
            </w:r>
            <w:proofErr w:type="spellStart"/>
            <w:r w:rsidR="00024C2E" w:rsidRPr="00EB1528">
              <w:rPr>
                <w:sz w:val="20"/>
                <w:szCs w:val="20"/>
                <w:lang w:val="fr-FR"/>
              </w:rPr>
              <w:t>inc.</w:t>
            </w:r>
            <w:proofErr w:type="spellEnd"/>
            <w:r w:rsidR="00024C2E" w:rsidRPr="00EB1528">
              <w:rPr>
                <w:sz w:val="20"/>
                <w:szCs w:val="20"/>
                <w:lang w:val="fr-FR"/>
              </w:rPr>
              <w:t xml:space="preserve"> CNUP)</w:t>
            </w:r>
          </w:p>
          <w:p w14:paraId="4303722B" w14:textId="77777777" w:rsidR="00160A9E" w:rsidRPr="00EB1528" w:rsidRDefault="00160A9E" w:rsidP="009A0EE2">
            <w:pPr>
              <w:rPr>
                <w:sz w:val="20"/>
                <w:szCs w:val="20"/>
                <w:lang w:val="fr-FR"/>
              </w:rPr>
            </w:pPr>
            <w:r w:rsidRPr="00EB1528">
              <w:rPr>
                <w:sz w:val="20"/>
                <w:szCs w:val="20"/>
                <w:lang w:val="fr-FR"/>
              </w:rPr>
              <w:t>Physics &amp; Astronomy</w:t>
            </w:r>
          </w:p>
          <w:p w14:paraId="763FB71B" w14:textId="77777777" w:rsidR="00160A9E" w:rsidRPr="00EB1528" w:rsidRDefault="00160A9E" w:rsidP="009A0EE2">
            <w:pPr>
              <w:rPr>
                <w:sz w:val="20"/>
                <w:szCs w:val="20"/>
                <w:lang w:val="fr-FR"/>
              </w:rPr>
            </w:pPr>
            <w:r w:rsidRPr="00EB1528">
              <w:rPr>
                <w:sz w:val="20"/>
                <w:szCs w:val="20"/>
                <w:lang w:val="fr-FR"/>
              </w:rPr>
              <w:t>Psychology</w:t>
            </w:r>
          </w:p>
          <w:p w14:paraId="05607EB3" w14:textId="77777777" w:rsidR="00160A9E" w:rsidRPr="00895681" w:rsidRDefault="00160A9E" w:rsidP="009A0EE2">
            <w:pPr>
              <w:rPr>
                <w:sz w:val="20"/>
                <w:szCs w:val="20"/>
              </w:rPr>
            </w:pPr>
            <w:r w:rsidRPr="00895681">
              <w:rPr>
                <w:sz w:val="20"/>
                <w:szCs w:val="20"/>
              </w:rPr>
              <w:t>Statistics</w:t>
            </w:r>
          </w:p>
          <w:p w14:paraId="61E93E1D" w14:textId="77777777" w:rsidR="00160A9E" w:rsidRPr="00895681" w:rsidRDefault="00160A9E" w:rsidP="009A0EE2">
            <w:pPr>
              <w:rPr>
                <w:sz w:val="20"/>
                <w:szCs w:val="20"/>
              </w:rPr>
            </w:pPr>
          </w:p>
        </w:tc>
        <w:tc>
          <w:tcPr>
            <w:tcW w:w="1601" w:type="pct"/>
            <w:tcBorders>
              <w:left w:val="double" w:sz="4" w:space="0" w:color="auto"/>
              <w:right w:val="double" w:sz="4" w:space="0" w:color="auto"/>
            </w:tcBorders>
          </w:tcPr>
          <w:p w14:paraId="4C00DB5E" w14:textId="77777777" w:rsidR="00160A9E" w:rsidRPr="00895681" w:rsidRDefault="00160A9E" w:rsidP="009A0EE2">
            <w:pPr>
              <w:rPr>
                <w:sz w:val="20"/>
                <w:szCs w:val="20"/>
              </w:rPr>
            </w:pPr>
            <w:r w:rsidRPr="00895681">
              <w:rPr>
                <w:sz w:val="20"/>
                <w:szCs w:val="20"/>
              </w:rPr>
              <w:t>Africana Studies</w:t>
            </w:r>
          </w:p>
          <w:p w14:paraId="57EC7027" w14:textId="77777777" w:rsidR="00160A9E" w:rsidRPr="00895681" w:rsidRDefault="00160A9E" w:rsidP="009A0EE2">
            <w:pPr>
              <w:rPr>
                <w:sz w:val="20"/>
                <w:szCs w:val="20"/>
              </w:rPr>
            </w:pPr>
            <w:r w:rsidRPr="00895681">
              <w:rPr>
                <w:sz w:val="20"/>
                <w:szCs w:val="20"/>
              </w:rPr>
              <w:t>Anthropology</w:t>
            </w:r>
          </w:p>
          <w:p w14:paraId="24975B31" w14:textId="77777777" w:rsidR="00160A9E" w:rsidRPr="00895681" w:rsidRDefault="00160A9E" w:rsidP="009A0EE2">
            <w:pPr>
              <w:rPr>
                <w:sz w:val="20"/>
                <w:szCs w:val="20"/>
              </w:rPr>
            </w:pPr>
            <w:r w:rsidRPr="00895681">
              <w:rPr>
                <w:sz w:val="20"/>
                <w:szCs w:val="20"/>
              </w:rPr>
              <w:t>Economics</w:t>
            </w:r>
          </w:p>
          <w:p w14:paraId="5D92242A" w14:textId="77777777" w:rsidR="00160A9E" w:rsidRPr="00895681" w:rsidRDefault="00160A9E" w:rsidP="009A0EE2">
            <w:pPr>
              <w:rPr>
                <w:sz w:val="20"/>
                <w:szCs w:val="20"/>
              </w:rPr>
            </w:pPr>
            <w:r w:rsidRPr="00895681">
              <w:rPr>
                <w:sz w:val="20"/>
                <w:szCs w:val="20"/>
              </w:rPr>
              <w:t>History</w:t>
            </w:r>
          </w:p>
          <w:p w14:paraId="4A825665" w14:textId="77777777" w:rsidR="00160A9E" w:rsidRPr="00895681" w:rsidRDefault="00160A9E" w:rsidP="009A0EE2">
            <w:pPr>
              <w:rPr>
                <w:sz w:val="20"/>
                <w:szCs w:val="20"/>
              </w:rPr>
            </w:pPr>
            <w:r w:rsidRPr="00895681">
              <w:rPr>
                <w:sz w:val="20"/>
                <w:szCs w:val="20"/>
              </w:rPr>
              <w:t>Political Science</w:t>
            </w:r>
          </w:p>
          <w:p w14:paraId="05393331" w14:textId="77777777" w:rsidR="00160A9E" w:rsidRDefault="00160A9E" w:rsidP="009A0EE2">
            <w:pPr>
              <w:rPr>
                <w:sz w:val="20"/>
                <w:szCs w:val="20"/>
              </w:rPr>
            </w:pPr>
            <w:r w:rsidRPr="00895681">
              <w:rPr>
                <w:sz w:val="20"/>
                <w:szCs w:val="20"/>
              </w:rPr>
              <w:t>Sociology</w:t>
            </w:r>
          </w:p>
          <w:p w14:paraId="7E6D91C0" w14:textId="77777777" w:rsidR="00CE75E9" w:rsidRDefault="00CE75E9" w:rsidP="009A0EE2">
            <w:pPr>
              <w:rPr>
                <w:sz w:val="20"/>
                <w:szCs w:val="20"/>
              </w:rPr>
            </w:pPr>
            <w:r>
              <w:rPr>
                <w:sz w:val="20"/>
                <w:szCs w:val="20"/>
              </w:rPr>
              <w:t>Urban Studies</w:t>
            </w:r>
          </w:p>
          <w:p w14:paraId="4C7D605F" w14:textId="77777777" w:rsidR="00CE75E9" w:rsidRPr="00895681" w:rsidRDefault="00CE75E9" w:rsidP="009A0EE2">
            <w:pPr>
              <w:rPr>
                <w:sz w:val="20"/>
                <w:szCs w:val="20"/>
              </w:rPr>
            </w:pPr>
          </w:p>
        </w:tc>
      </w:tr>
    </w:tbl>
    <w:p w14:paraId="360A3D70" w14:textId="77777777" w:rsidR="000C0860" w:rsidRPr="00895681" w:rsidRDefault="0045552D" w:rsidP="0045552D">
      <w:pPr>
        <w:tabs>
          <w:tab w:val="left" w:pos="6480"/>
        </w:tabs>
        <w:rPr>
          <w:sz w:val="20"/>
          <w:szCs w:val="20"/>
        </w:rPr>
      </w:pPr>
      <w:r>
        <w:rPr>
          <w:sz w:val="20"/>
          <w:szCs w:val="20"/>
        </w:rPr>
        <w:tab/>
      </w:r>
    </w:p>
    <w:sectPr w:rsidR="000C0860" w:rsidRPr="00895681" w:rsidSect="00836B93">
      <w:footerReference w:type="default" r:id="rId13"/>
      <w:pgSz w:w="15840" w:h="12240" w:orient="landscape"/>
      <w:pgMar w:top="547" w:right="720" w:bottom="288" w:left="720" w:header="36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82A7" w14:textId="77777777" w:rsidR="00756BCC" w:rsidRDefault="00756BCC" w:rsidP="00BF0373">
      <w:pPr>
        <w:spacing w:after="0" w:line="240" w:lineRule="auto"/>
      </w:pPr>
      <w:r>
        <w:separator/>
      </w:r>
    </w:p>
  </w:endnote>
  <w:endnote w:type="continuationSeparator" w:id="0">
    <w:p w14:paraId="55E61534" w14:textId="77777777" w:rsidR="00756BCC" w:rsidRDefault="00756BCC" w:rsidP="00BF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382D" w14:textId="2D8D2361" w:rsidR="00BF0373" w:rsidRPr="00BF0373" w:rsidRDefault="00BF0373" w:rsidP="00BF0373">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CFC7" w14:textId="77777777" w:rsidR="00756BCC" w:rsidRDefault="00756BCC" w:rsidP="00BF0373">
      <w:pPr>
        <w:spacing w:after="0" w:line="240" w:lineRule="auto"/>
      </w:pPr>
      <w:r>
        <w:separator/>
      </w:r>
    </w:p>
  </w:footnote>
  <w:footnote w:type="continuationSeparator" w:id="0">
    <w:p w14:paraId="7693DB6F" w14:textId="77777777" w:rsidR="00756BCC" w:rsidRDefault="00756BCC" w:rsidP="00BF0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2016"/>
    <w:multiLevelType w:val="hybridMultilevel"/>
    <w:tmpl w:val="25082AB2"/>
    <w:lvl w:ilvl="0" w:tplc="26362A88">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16"/>
    <w:rsid w:val="00024C2E"/>
    <w:rsid w:val="000610E1"/>
    <w:rsid w:val="00096EE7"/>
    <w:rsid w:val="000D02FD"/>
    <w:rsid w:val="000E2458"/>
    <w:rsid w:val="00160A9E"/>
    <w:rsid w:val="001B7138"/>
    <w:rsid w:val="001E3072"/>
    <w:rsid w:val="001E7A9C"/>
    <w:rsid w:val="001F76FF"/>
    <w:rsid w:val="00261FF5"/>
    <w:rsid w:val="00293D57"/>
    <w:rsid w:val="002C787B"/>
    <w:rsid w:val="002D4C76"/>
    <w:rsid w:val="002D53B1"/>
    <w:rsid w:val="002F41F1"/>
    <w:rsid w:val="00342031"/>
    <w:rsid w:val="00364C24"/>
    <w:rsid w:val="00371CE6"/>
    <w:rsid w:val="003A246E"/>
    <w:rsid w:val="003D046B"/>
    <w:rsid w:val="003D462C"/>
    <w:rsid w:val="003F16F9"/>
    <w:rsid w:val="00444EDA"/>
    <w:rsid w:val="0045552D"/>
    <w:rsid w:val="004706F5"/>
    <w:rsid w:val="00477A0D"/>
    <w:rsid w:val="00484608"/>
    <w:rsid w:val="004A7ADB"/>
    <w:rsid w:val="00552878"/>
    <w:rsid w:val="00595534"/>
    <w:rsid w:val="006545E4"/>
    <w:rsid w:val="00676A55"/>
    <w:rsid w:val="006C577B"/>
    <w:rsid w:val="00745D27"/>
    <w:rsid w:val="00756BCC"/>
    <w:rsid w:val="0077494E"/>
    <w:rsid w:val="00787258"/>
    <w:rsid w:val="007F42C1"/>
    <w:rsid w:val="00836B93"/>
    <w:rsid w:val="00892692"/>
    <w:rsid w:val="00895681"/>
    <w:rsid w:val="008A6CCF"/>
    <w:rsid w:val="008D5201"/>
    <w:rsid w:val="009067BB"/>
    <w:rsid w:val="00946DFB"/>
    <w:rsid w:val="00992B86"/>
    <w:rsid w:val="009A0EE2"/>
    <w:rsid w:val="009A5B3F"/>
    <w:rsid w:val="009C1AF4"/>
    <w:rsid w:val="009D3D92"/>
    <w:rsid w:val="00A11475"/>
    <w:rsid w:val="00A11F4A"/>
    <w:rsid w:val="00A21CC6"/>
    <w:rsid w:val="00A2699A"/>
    <w:rsid w:val="00A2783B"/>
    <w:rsid w:val="00A331DD"/>
    <w:rsid w:val="00A33B76"/>
    <w:rsid w:val="00A33E3E"/>
    <w:rsid w:val="00A93542"/>
    <w:rsid w:val="00AA6B45"/>
    <w:rsid w:val="00AF11DA"/>
    <w:rsid w:val="00B15C6E"/>
    <w:rsid w:val="00B463B8"/>
    <w:rsid w:val="00BB469E"/>
    <w:rsid w:val="00BE1000"/>
    <w:rsid w:val="00BF0373"/>
    <w:rsid w:val="00C928CE"/>
    <w:rsid w:val="00CD1AB3"/>
    <w:rsid w:val="00CE75E9"/>
    <w:rsid w:val="00CF5A27"/>
    <w:rsid w:val="00DF058B"/>
    <w:rsid w:val="00E0207F"/>
    <w:rsid w:val="00E06B47"/>
    <w:rsid w:val="00E27101"/>
    <w:rsid w:val="00E831A2"/>
    <w:rsid w:val="00E85B7A"/>
    <w:rsid w:val="00EB1528"/>
    <w:rsid w:val="00EC0D3C"/>
    <w:rsid w:val="00EC2C94"/>
    <w:rsid w:val="00F167A0"/>
    <w:rsid w:val="00F60CF5"/>
    <w:rsid w:val="00F72B8E"/>
    <w:rsid w:val="00FD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FEFBF"/>
  <w15:chartTrackingRefBased/>
  <w15:docId w15:val="{538CBD7B-B0D1-4095-977D-825C9BC1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116"/>
    <w:pPr>
      <w:ind w:left="720"/>
      <w:contextualSpacing/>
    </w:pPr>
  </w:style>
  <w:style w:type="paragraph" w:styleId="BalloonText">
    <w:name w:val="Balloon Text"/>
    <w:basedOn w:val="Normal"/>
    <w:link w:val="BalloonTextChar"/>
    <w:uiPriority w:val="99"/>
    <w:semiHidden/>
    <w:unhideWhenUsed/>
    <w:rsid w:val="00CD1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AB3"/>
    <w:rPr>
      <w:rFonts w:ascii="Segoe UI" w:hAnsi="Segoe UI" w:cs="Segoe UI"/>
      <w:sz w:val="18"/>
      <w:szCs w:val="18"/>
    </w:rPr>
  </w:style>
  <w:style w:type="paragraph" w:styleId="Header">
    <w:name w:val="header"/>
    <w:basedOn w:val="Normal"/>
    <w:link w:val="HeaderChar"/>
    <w:uiPriority w:val="99"/>
    <w:unhideWhenUsed/>
    <w:rsid w:val="00BF0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373"/>
  </w:style>
  <w:style w:type="paragraph" w:styleId="Footer">
    <w:name w:val="footer"/>
    <w:basedOn w:val="Normal"/>
    <w:link w:val="FooterChar"/>
    <w:uiPriority w:val="99"/>
    <w:unhideWhenUsed/>
    <w:rsid w:val="00BF0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373"/>
  </w:style>
  <w:style w:type="character" w:styleId="Hyperlink">
    <w:name w:val="Hyperlink"/>
    <w:basedOn w:val="DefaultParagraphFont"/>
    <w:uiPriority w:val="99"/>
    <w:unhideWhenUsed/>
    <w:rsid w:val="003A246E"/>
    <w:rPr>
      <w:color w:val="0563C1" w:themeColor="hyperlink"/>
      <w:u w:val="single"/>
    </w:rPr>
  </w:style>
  <w:style w:type="character" w:customStyle="1" w:styleId="UnresolvedMention1">
    <w:name w:val="Unresolved Mention1"/>
    <w:basedOn w:val="DefaultParagraphFont"/>
    <w:uiPriority w:val="99"/>
    <w:semiHidden/>
    <w:unhideWhenUsed/>
    <w:rsid w:val="003A246E"/>
    <w:rPr>
      <w:color w:val="808080"/>
      <w:shd w:val="clear" w:color="auto" w:fill="E6E6E6"/>
    </w:rPr>
  </w:style>
  <w:style w:type="character" w:styleId="UnresolvedMention">
    <w:name w:val="Unresolved Mention"/>
    <w:basedOn w:val="DefaultParagraphFont"/>
    <w:uiPriority w:val="99"/>
    <w:semiHidden/>
    <w:unhideWhenUsed/>
    <w:rsid w:val="00261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11137">
      <w:bodyDiv w:val="1"/>
      <w:marLeft w:val="0"/>
      <w:marRight w:val="0"/>
      <w:marTop w:val="0"/>
      <w:marBottom w:val="0"/>
      <w:divBdr>
        <w:top w:val="none" w:sz="0" w:space="0" w:color="auto"/>
        <w:left w:val="none" w:sz="0" w:space="0" w:color="auto"/>
        <w:bottom w:val="none" w:sz="0" w:space="0" w:color="auto"/>
        <w:right w:val="none" w:sz="0" w:space="0" w:color="auto"/>
      </w:divBdr>
    </w:div>
    <w:div w:id="190475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g19@pitt.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linda@pit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linda@pitt.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griff@pitt.edu" TargetMode="External"/><Relationship Id="rId4" Type="http://schemas.openxmlformats.org/officeDocument/2006/relationships/settings" Target="settings.xml"/><Relationship Id="rId9" Type="http://schemas.openxmlformats.org/officeDocument/2006/relationships/hyperlink" Target="mailto:tara.meyer@pit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784E-2578-4E7E-81A4-37F4C6BE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Colvard, Michele Montag</dc:creator>
  <cp:keywords/>
  <dc:description/>
  <cp:lastModifiedBy>Lang, Lisa A.</cp:lastModifiedBy>
  <cp:revision>2</cp:revision>
  <cp:lastPrinted>2017-08-28T12:39:00Z</cp:lastPrinted>
  <dcterms:created xsi:type="dcterms:W3CDTF">2022-03-01T17:42:00Z</dcterms:created>
  <dcterms:modified xsi:type="dcterms:W3CDTF">2022-03-01T17:42:00Z</dcterms:modified>
</cp:coreProperties>
</file>